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36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bl>
      <w:tblPr>
        <w:tblW w:w="8419" w:type="dxa"/>
        <w:jc w:val="center"/>
        <w:tblInd w:w="0" w:type="dxa"/>
        <w:tblLayout w:type="fixed"/>
        <w:tblCellMar>
          <w:top w:w="28" w:type="dxa"/>
          <w:left w:w="28" w:type="dxa"/>
          <w:bottom w:w="28" w:type="dxa"/>
          <w:right w:w="28" w:type="dxa"/>
        </w:tblCellMar>
      </w:tblPr>
      <w:tblGrid>
        <w:gridCol w:w="996"/>
        <w:gridCol w:w="877"/>
        <w:gridCol w:w="677"/>
        <w:gridCol w:w="403"/>
        <w:gridCol w:w="403"/>
        <w:gridCol w:w="403"/>
        <w:gridCol w:w="771"/>
        <w:gridCol w:w="403"/>
        <w:gridCol w:w="403"/>
        <w:gridCol w:w="403"/>
        <w:gridCol w:w="403"/>
        <w:gridCol w:w="403"/>
        <w:gridCol w:w="624"/>
        <w:gridCol w:w="624"/>
        <w:gridCol w:w="626"/>
      </w:tblGrid>
      <w:tr>
        <w:trPr/>
        <w:tc>
          <w:tcPr>
            <w:tcW w:w="9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841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August 11, 2026 </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Enviri Corporation</w:t>
            </w:r>
          </w:p>
        </w:tc>
      </w:tr>
      <w:tr>
        <w:trPr/>
        <w:tc>
          <w:tcPr>
            <w:tcW w:w="84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(Exact name of registrant as specified in its charter)</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001-43207</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41-2897233</w:t>
            </w:r>
          </w:p>
        </w:tc>
      </w:tr>
      <w:tr>
        <w:trPr/>
        <w:tc>
          <w:tcPr>
            <w:tcW w:w="25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w:t>
              <w:br/>
              <w:t>of incorporation)</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w:t>
              <w:br/>
              <w:t>File Number)</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w:t>
              <w:br/>
              <w:t>Identification No.)</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Two Logan Square</w:t>
              <w:br/>
              <w:t>100-120 North 18th Street, 17th Floor,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Pennsylvania</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19103</w:t>
            </w:r>
          </w:p>
        </w:tc>
      </w:tr>
      <w:tr>
        <w:trPr/>
        <w:tc>
          <w:tcPr>
            <w:tcW w:w="53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Registrant’s telephone number, including area code (267) 857-8715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5869"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Instructions A.2. below):</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58" w:type="dxa"/>
        <w:jc w:val="center"/>
        <w:tblInd w:w="0" w:type="dxa"/>
        <w:tblLayout w:type="fixed"/>
        <w:tblCellMar>
          <w:top w:w="28" w:type="dxa"/>
          <w:left w:w="28" w:type="dxa"/>
          <w:bottom w:w="28" w:type="dxa"/>
          <w:right w:w="28" w:type="dxa"/>
        </w:tblCellMar>
      </w:tblPr>
      <w:tblGrid>
        <w:gridCol w:w="1369"/>
        <w:gridCol w:w="1198"/>
        <w:gridCol w:w="1213"/>
        <w:gridCol w:w="109"/>
        <w:gridCol w:w="109"/>
        <w:gridCol w:w="109"/>
        <w:gridCol w:w="539"/>
        <w:gridCol w:w="539"/>
        <w:gridCol w:w="541"/>
        <w:gridCol w:w="109"/>
        <w:gridCol w:w="109"/>
        <w:gridCol w:w="109"/>
        <w:gridCol w:w="1085"/>
        <w:gridCol w:w="1085"/>
        <w:gridCol w:w="1535"/>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 w:after="120"/>
        <w:jc w:val="left"/>
        <w:rPr>
          <w:rFonts w:ascii="Times New Roman;serif" w:hAnsi="Times New Roman;serif"/>
          <w:b w:val="false"/>
          <w:color w:val="000000"/>
          <w:sz w:val="20"/>
        </w:rPr>
      </w:pPr>
      <w:r>
        <w:rPr>
          <w:rFonts w:ascii="Times New Roman;serif" w:hAnsi="Times New Roman;serif"/>
          <w:b w:val="false"/>
          <w:color w:val="000000"/>
          <w:sz w:val="20"/>
        </w:rPr>
        <w:t>On August 11, 2026, Enviri Corporation (the “Company”) issued a press release announcing its earnings for the second quarter ended June 30, 2026. A copy of the press release is attached hereto as Exhibit 99.1.</w:t>
      </w:r>
    </w:p>
    <w:p>
      <w:pPr>
        <w:pStyle w:val="TextBody"/>
        <w:bidi w:val="0"/>
        <w:spacing w:lineRule="auto" w:line="288" w:before="1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is being furnished in this report and shall not be deemed to be “filed” for purposes of Section 18 of the Securities Exchange Act of 1934 (the “Exchange Act”) or otherwise subject to the liabilities of that section, nor shall it be deemed incorporated by reference into any filing under the Securities Act of 1933 or the Exchange Act, except as shall be expressly set forth by specific reference in such filing.</w:t>
      </w:r>
    </w:p>
    <w:p>
      <w:pPr>
        <w:pStyle w:val="TextBody"/>
        <w:bidi w:val="0"/>
        <w:spacing w:lineRule="auto" w:line="288" w:before="240" w:after="24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the Current Report on Form 8-K:</w:t>
      </w:r>
    </w:p>
    <w:tbl>
      <w:tblPr>
        <w:tblW w:w="8067" w:type="dxa"/>
        <w:jc w:val="center"/>
        <w:tblInd w:w="0" w:type="dxa"/>
        <w:tblLayout w:type="fixed"/>
        <w:tblCellMar>
          <w:top w:w="28" w:type="dxa"/>
          <w:left w:w="28" w:type="dxa"/>
          <w:bottom w:w="28" w:type="dxa"/>
          <w:right w:w="28" w:type="dxa"/>
        </w:tblCellMar>
      </w:tblPr>
      <w:tblGrid>
        <w:gridCol w:w="412"/>
        <w:gridCol w:w="362"/>
        <w:gridCol w:w="365"/>
        <w:gridCol w:w="109"/>
        <w:gridCol w:w="109"/>
        <w:gridCol w:w="109"/>
        <w:gridCol w:w="1932"/>
        <w:gridCol w:w="1932"/>
        <w:gridCol w:w="2737"/>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financialstate.htm">
              <w:r>
                <w:rPr>
                  <w:rStyle w:val="InternetLink"/>
                  <w:rFonts w:ascii="Times New Roman;serif" w:hAnsi="Times New Roman;serif"/>
                  <w:b w:val="false"/>
                  <w:color w:val="0000FF"/>
                  <w:sz w:val="20"/>
                  <w:u w:val="single"/>
                </w:rPr>
                <w:t>Earnings press release dated August 11, 2026.</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7720" w:type="dxa"/>
        <w:jc w:val="left"/>
        <w:tblInd w:w="0" w:type="dxa"/>
        <w:tblLayout w:type="fixed"/>
        <w:tblCellMar>
          <w:top w:w="28" w:type="dxa"/>
          <w:left w:w="28" w:type="dxa"/>
          <w:bottom w:w="28" w:type="dxa"/>
          <w:right w:w="28" w:type="dxa"/>
        </w:tblCellMar>
      </w:tblPr>
      <w:tblGrid>
        <w:gridCol w:w="222"/>
        <w:gridCol w:w="196"/>
        <w:gridCol w:w="197"/>
        <w:gridCol w:w="559"/>
        <w:gridCol w:w="559"/>
        <w:gridCol w:w="561"/>
        <w:gridCol w:w="109"/>
        <w:gridCol w:w="109"/>
        <w:gridCol w:w="109"/>
        <w:gridCol w:w="1492"/>
        <w:gridCol w:w="1492"/>
        <w:gridCol w:w="2115"/>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Enviri Corporation</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PETER F. MINAN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Peter F. Minan</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Executive Vice President and 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right"/>
        <w:rPr/>
      </w:pPr>
      <w:r>
        <w:rPr>
          <w:color w:val="000000"/>
        </w:rPr>
        <w:t>                    </w:t>
      </w:r>
      <w:r>
        <w:rPr>
          <w:rFonts w:ascii="Times New Roman;serif" w:hAnsi="Times New Roman;serif"/>
          <w:b/>
          <w:color w:val="000000"/>
          <w:sz w:val="22"/>
        </w:rPr>
        <w:t>Exhibit 99.1</w:t>
      </w:r>
    </w:p>
    <w:p>
      <w:pPr>
        <w:pStyle w:val="TextBody"/>
        <w:bidi w:val="0"/>
        <w:spacing w:before="0" w:after="0"/>
        <w:jc w:val="right"/>
        <w:rPr/>
      </w:pPr>
      <w:r>
        <w:rPr/>
        <w:drawing>
          <wp:inline distT="0" distB="0" distL="0" distR="0">
            <wp:extent cx="1238250" cy="714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38250" cy="714375"/>
                    </a:xfrm>
                    <a:prstGeom prst="rect">
                      <a:avLst/>
                    </a:prstGeom>
                  </pic:spPr>
                </pic:pic>
              </a:graphicData>
            </a:graphic>
          </wp:inline>
        </w:drawing>
      </w:r>
    </w:p>
    <w:p>
      <w:pPr>
        <w:pStyle w:val="TextBody"/>
        <w:bidi w:val="0"/>
        <w:spacing w:lineRule="auto" w:line="288" w:before="0" w:after="0"/>
        <w:jc w:val="left"/>
        <w:rPr/>
      </w:pPr>
      <w:r>
        <w:rPr/>
        <w:drawing>
          <wp:inline distT="0" distB="0" distL="0" distR="0">
            <wp:extent cx="2324100" cy="476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324100" cy="476250"/>
                    </a:xfrm>
                    <a:prstGeom prst="rect">
                      <a:avLst/>
                    </a:prstGeom>
                  </pic:spPr>
                </pic:pic>
              </a:graphicData>
            </a:graphic>
          </wp:inline>
        </w:drawing>
      </w:r>
      <w:r>
        <w:rPr>
          <w:color w:val="000000"/>
        </w:rPr>
        <w:t xml:space="preserve">     </w:t>
      </w:r>
    </w:p>
    <w:tbl>
      <w:tblPr>
        <w:tblW w:w="3657" w:type="dxa"/>
        <w:jc w:val="left"/>
        <w:tblInd w:w="0" w:type="dxa"/>
        <w:tblLayout w:type="fixed"/>
        <w:tblCellMar>
          <w:top w:w="28" w:type="dxa"/>
          <w:left w:w="28" w:type="dxa"/>
          <w:bottom w:w="28" w:type="dxa"/>
          <w:right w:w="28" w:type="dxa"/>
        </w:tblCellMar>
      </w:tblPr>
      <w:tblGrid>
        <w:gridCol w:w="603"/>
        <w:gridCol w:w="530"/>
        <w:gridCol w:w="532"/>
        <w:gridCol w:w="645"/>
        <w:gridCol w:w="645"/>
        <w:gridCol w:w="702"/>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B5C93E"/>
                <w:sz w:val="16"/>
              </w:rPr>
            </w:pPr>
            <w:r>
              <w:rPr>
                <w:rFonts w:ascii="Open Sans;sans-serif" w:hAnsi="Open Sans;sans-serif"/>
                <w:b/>
                <w:color w:val="B5C93E"/>
                <w:sz w:val="16"/>
              </w:rPr>
              <w:t>Investor Contact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B5C93E"/>
                <w:sz w:val="16"/>
              </w:rPr>
            </w:pPr>
            <w:r>
              <w:rPr>
                <w:rFonts w:ascii="Open Sans;sans-serif" w:hAnsi="Open Sans;sans-serif"/>
                <w:b/>
                <w:color w:val="B5C93E"/>
                <w:sz w:val="16"/>
              </w:rPr>
              <w:t>Media Contact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David Martin</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Karen Tognarelli</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4"/>
              </w:rPr>
            </w:pPr>
            <w:r>
              <w:rPr>
                <w:rFonts w:ascii="Open Sans;sans-serif" w:hAnsi="Open Sans;sans-serif"/>
                <w:b w:val="false"/>
                <w:color w:val="444446"/>
                <w:sz w:val="14"/>
              </w:rPr>
              <w:t>+1.267.946.1407</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4"/>
              </w:rPr>
            </w:pPr>
            <w:r>
              <w:rPr>
                <w:rFonts w:ascii="Open Sans;sans-serif" w:hAnsi="Open Sans;sans-serif"/>
                <w:b w:val="false"/>
                <w:color w:val="444446"/>
                <w:sz w:val="14"/>
              </w:rPr>
              <w:t>+1.717.480.6145</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4"/>
              </w:rPr>
            </w:pPr>
            <w:r>
              <w:rPr>
                <w:rFonts w:ascii="Open Sans;sans-serif" w:hAnsi="Open Sans;sans-serif"/>
                <w:b w:val="false"/>
                <w:color w:val="444446"/>
                <w:sz w:val="14"/>
              </w:rPr>
              <w:t>dmartin@enviri.com</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4"/>
              </w:rPr>
            </w:pPr>
            <w:r>
              <w:rPr>
                <w:rFonts w:ascii="Open Sans;sans-serif" w:hAnsi="Open Sans;sans-serif"/>
                <w:b w:val="false"/>
                <w:color w:val="444446"/>
                <w:sz w:val="14"/>
              </w:rPr>
              <w:t>ktognarelli@enviri.com</w:t>
            </w:r>
          </w:p>
        </w:tc>
      </w:tr>
    </w:tbl>
    <w:p>
      <w:pPr>
        <w:pStyle w:val="TextBody"/>
        <w:bidi w:val="0"/>
        <w:spacing w:before="0" w:after="0"/>
        <w:jc w:val="left"/>
        <w:rPr/>
      </w:pPr>
      <w:r>
        <w:rPr/>
      </w:r>
    </w:p>
    <w:p>
      <w:pPr>
        <w:pStyle w:val="TextBody"/>
        <w:bidi w:val="0"/>
        <w:spacing w:lineRule="auto" w:line="288" w:before="0" w:after="0"/>
        <w:jc w:val="left"/>
        <w:rPr>
          <w:rFonts w:ascii="Open Sans;sans-serif" w:hAnsi="Open Sans;sans-serif"/>
          <w:b/>
          <w:color w:val="444446"/>
          <w:sz w:val="20"/>
        </w:rPr>
      </w:pPr>
      <w:r>
        <w:rPr>
          <w:rFonts w:ascii="Open Sans;sans-serif" w:hAnsi="Open Sans;sans-serif"/>
          <w:b/>
          <w:color w:val="444446"/>
          <w:sz w:val="20"/>
        </w:rPr>
        <w:t>FOR IMMEDIATE RELEASE</w:t>
      </w:r>
    </w:p>
    <w:p>
      <w:pPr>
        <w:pStyle w:val="TextBody"/>
        <w:bidi w:val="0"/>
        <w:spacing w:before="0" w:after="0"/>
        <w:jc w:val="center"/>
        <w:rPr/>
      </w:pPr>
      <w:r>
        <w:rPr/>
      </w:r>
    </w:p>
    <w:p>
      <w:pPr>
        <w:pStyle w:val="TextBody"/>
        <w:bidi w:val="0"/>
        <w:spacing w:lineRule="auto" w:line="417" w:before="0" w:after="0"/>
        <w:jc w:val="left"/>
        <w:rPr>
          <w:rFonts w:ascii="Open Sans;sans-serif" w:hAnsi="Open Sans;sans-serif"/>
          <w:b/>
          <w:color w:val="444446"/>
          <w:sz w:val="56"/>
        </w:rPr>
      </w:pPr>
      <w:r>
        <w:rPr>
          <w:rFonts w:ascii="Open Sans;sans-serif" w:hAnsi="Open Sans;sans-serif"/>
          <w:b/>
          <w:color w:val="444446"/>
          <w:sz w:val="56"/>
        </w:rPr>
        <w:t>Enviri Corporation Reports Second Quarter 2026 Results</w:t>
      </w:r>
    </w:p>
    <w:p>
      <w:pPr>
        <w:pStyle w:val="TextBody"/>
        <w:bidi w:val="0"/>
        <w:spacing w:before="0" w:after="0"/>
        <w:jc w:val="center"/>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Strong performance at Harsco Environmental and Rail, with each exceeding expectations in the quarter</w: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Strategic decision made to exit two European Harsco Rail ETO contracts, eliminating future execution risk, uncertainty, and cash outflows related to performance of these contracts; contract exits anticipated to conclude company's exposure to its legacy ETO contract risks (see separate news release)</w: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Second quarter</w:t>
      </w:r>
      <w:r>
        <w:rPr>
          <w:color w:val="444446"/>
        </w:rPr>
        <w:t xml:space="preserve"> </w:t>
      </w:r>
      <w:r>
        <w:rPr>
          <w:rFonts w:ascii="Open Sans;sans-serif" w:hAnsi="Open Sans;sans-serif"/>
          <w:b/>
          <w:i/>
          <w:color w:val="444446"/>
          <w:sz w:val="22"/>
        </w:rPr>
        <w:t>revenues from Continuing Operations totaled $187 million as reported and $324 million excluding the effects of ETO contract exit adjustments, an increase of 2 percent over the prior year; historical Clean Earth results now reported as Discontinued Operations</w: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 xml:space="preserve">Second quarter GAAP consolidated loss from continuing operations of $297 million, including charges for exiting the Harsco Rail ETO contracts as well as transaction-related unusual items resulting from the sale of Clean Earth and spin-off </w: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Adjusted EBITDA in Q2 totaled $34 million</w: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Second quarter GAAP diluted loss per share from continuing operations of $10.70 and adjusted diluted loss per share of $0.63</w:t>
      </w:r>
    </w:p>
    <w:p>
      <w:pPr>
        <w:pStyle w:val="TextBody"/>
        <w:bidi w:val="0"/>
        <w:spacing w:before="0" w:after="0"/>
        <w:jc w:val="left"/>
        <w:rPr/>
      </w:pPr>
      <w:r>
        <w:rPr/>
      </w:r>
    </w:p>
    <w:p>
      <w:pPr>
        <w:pStyle w:val="TextBody"/>
        <w:bidi w:val="0"/>
        <w:spacing w:lineRule="auto" w:line="417"/>
        <w:ind w:left="0" w:right="0" w:hanging="360"/>
        <w:jc w:val="left"/>
        <w:rPr/>
      </w:pPr>
      <w:r>
        <w:rPr>
          <w:color w:val="B5C93E"/>
        </w:rPr>
        <w:t>•</w:t>
      </w:r>
      <w:r>
        <w:rPr>
          <w:rFonts w:ascii="Open Sans;sans-serif" w:hAnsi="Open Sans;sans-serif"/>
          <w:b/>
          <w:i/>
          <w:color w:val="444446"/>
          <w:sz w:val="22"/>
        </w:rPr>
        <w:t>Credit Agreement net leverage ratio now at 1.9x based on new capital structure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hanging="360"/>
        <w:jc w:val="left"/>
        <w:rPr/>
      </w:pPr>
      <w:r>
        <w:rPr>
          <w:color w:val="B5C93E"/>
        </w:rPr>
        <w:t>•</w:t>
      </w:r>
      <w:r>
        <w:rPr>
          <w:rFonts w:ascii="Open Sans;sans-serif" w:hAnsi="Open Sans;sans-serif"/>
          <w:b/>
          <w:i/>
          <w:color w:val="444446"/>
          <w:sz w:val="22"/>
        </w:rPr>
        <w:t>2026 Adjusted EBITDA outlook reaffirmed for Harsco Environmental and Harsco Rail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pPr>
      <w:r>
        <w:rPr>
          <w:rFonts w:ascii="Open Sans;sans-serif" w:hAnsi="Open Sans;sans-serif"/>
          <w:b/>
          <w:color w:val="444446"/>
          <w:sz w:val="22"/>
        </w:rPr>
        <w:t>PHILADELPHIA</w:t>
      </w:r>
      <w:r>
        <w:rPr>
          <w:color w:val="444446"/>
        </w:rPr>
        <w:t xml:space="preserve"> </w:t>
      </w:r>
      <w:r>
        <w:rPr>
          <w:rFonts w:ascii="Open Sans;sans-serif" w:hAnsi="Open Sans;sans-serif"/>
          <w:b w:val="false"/>
          <w:color w:val="444446"/>
          <w:sz w:val="22"/>
        </w:rPr>
        <w:t>(Aug. 11, 2026) - Enviri Corporation (NYSE: NVRI) (the "Company") today reported second quarter 2026 results. On a GAAP basis, the second quarter of 2026 diluted loss per share from continuing operations was $10.70, including expenses related to the sale of Clean Earth and spin-off of Harsco Environmental and Harsco Rail, adjustments related to the termination of certain Harsco Rail contracts, and restructuring costs. Adjusted diluted loss per share from continuing operations in the second quarter of 2026 was $0.63. These figures compare with a second quarter 2025 GAAP diluted loss per share from continuing operations of $1.70, which included contract adjustments in Harsco Rail, an asset impairment and site exit costs in Harsco Environmental, and strategic expenses, and an adjusted diluted loss per share from continuing operations of $0.84.</w:t>
      </w:r>
    </w:p>
    <w:p>
      <w:pPr>
        <w:pStyle w:val="TextBody"/>
        <w:bidi w:val="0"/>
        <w:spacing w:before="0" w:after="0"/>
        <w:jc w:val="left"/>
        <w:rPr/>
      </w:pPr>
      <w:r>
        <w:rPr/>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The GAAP consolidated loss from continuing operations for the second quarter of 2026 was $297 million, while Adjusted EBITDA excluding unusual items totaled $34 million in the quarter.</w:t>
      </w:r>
    </w:p>
    <w:p>
      <w:pPr>
        <w:pStyle w:val="TextBody"/>
        <w:bidi w:val="0"/>
        <w:spacing w:before="0" w:after="0"/>
        <w:jc w:val="left"/>
        <w:rPr/>
      </w:pPr>
      <w:r>
        <w:rPr/>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 xml:space="preserve">"During the second quarter, our team executed well, with Harsco Environmental and Rail each delivering results above the high end of our guidance ranges while end-markets have remained subdued,” said Enviri President and CEO Russell Hochman. </w:t>
      </w:r>
    </w:p>
    <w:p>
      <w:pPr>
        <w:pStyle w:val="TextBody"/>
        <w:bidi w:val="0"/>
        <w:spacing w:before="0" w:after="0"/>
        <w:jc w:val="left"/>
        <w:rPr/>
      </w:pPr>
      <w:r>
        <w:rPr/>
      </w:r>
    </w:p>
    <w:p>
      <w:pPr>
        <w:pStyle w:val="TextBody"/>
        <w:bidi w:val="0"/>
        <w:spacing w:lineRule="auto" w:line="417"/>
        <w:jc w:val="left"/>
        <w:rPr>
          <w:rFonts w:ascii="Open Sans;sans-serif" w:hAnsi="Open Sans;sans-serif"/>
          <w:b w:val="false"/>
          <w:color w:val="444446"/>
          <w:sz w:val="22"/>
        </w:rPr>
      </w:pPr>
      <w:r>
        <w:rPr>
          <w:rFonts w:ascii="Open Sans;sans-serif" w:hAnsi="Open Sans;sans-serif"/>
          <w:b w:val="false"/>
          <w:color w:val="444446"/>
          <w:sz w:val="22"/>
        </w:rPr>
        <w:t>"In addition, we took meaningful action to advance our strategic priorities that improve our financial profile and earnings potential while strengthening Enviri’s position as a leader in our markets. These actions include the strategic decision to exit two European Rail ETO contracts, removing a source of business uncertainty and financial volatility, including cash flows related to performance under these contracts. We also concluded the initial stage of our comprehensive business review, aimed at reducing our business complexity and driving operational excellence, and we have recently begun implementing broad restructuring actions across the Company. Lastly, we are reaffirming our 2026 outlook and will continue to prioritize initiatives that will drive sustainable value creation for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77520"/>
                <wp:effectExtent l="0" t="0" r="0" b="0"/>
                <wp:wrapNone/>
                <wp:docPr id="7" name="Frame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w:t>
                      </w:r>
                    </w:p>
                  </w:txbxContent>
                </v:textbox>
                <w10:wrap type="none"/>
              </v:rect>
            </w:pict>
          </mc:Fallback>
        </mc:AlternateContent>
      </w:r>
    </w:p>
    <w:p>
      <w:pPr>
        <w:pStyle w:val="TextBody"/>
        <w:bidi w:val="0"/>
        <w:spacing w:lineRule="auto" w:line="417" w:before="0" w:after="0"/>
        <w:jc w:val="left"/>
        <w:rPr>
          <w:rFonts w:ascii="Open Sans;sans-serif" w:hAnsi="Open Sans;sans-serif"/>
          <w:b/>
          <w:color w:val="444446"/>
          <w:sz w:val="22"/>
        </w:rPr>
      </w:pPr>
      <w:r>
        <w:rPr>
          <w:rFonts w:ascii="Open Sans;sans-serif" w:hAnsi="Open Sans;sans-serif"/>
          <w:b/>
          <w:color w:val="444446"/>
          <w:sz w:val="22"/>
        </w:rPr>
        <w:t>Enviri Corporation—Selected Second Quarter Results</w:t>
      </w:r>
    </w:p>
    <w:tbl>
      <w:tblPr>
        <w:tblW w:w="8625" w:type="dxa"/>
        <w:jc w:val="left"/>
        <w:tblInd w:w="0" w:type="dxa"/>
        <w:tblLayout w:type="fixed"/>
        <w:tblCellMar>
          <w:top w:w="28" w:type="dxa"/>
          <w:left w:w="28" w:type="dxa"/>
          <w:bottom w:w="28" w:type="dxa"/>
          <w:right w:w="28" w:type="dxa"/>
        </w:tblCellMar>
      </w:tblPr>
      <w:tblGrid>
        <w:gridCol w:w="1979"/>
        <w:gridCol w:w="1734"/>
        <w:gridCol w:w="1747"/>
        <w:gridCol w:w="109"/>
        <w:gridCol w:w="109"/>
        <w:gridCol w:w="109"/>
        <w:gridCol w:w="226"/>
        <w:gridCol w:w="796"/>
        <w:gridCol w:w="271"/>
        <w:gridCol w:w="109"/>
        <w:gridCol w:w="109"/>
        <w:gridCol w:w="109"/>
        <w:gridCol w:w="226"/>
        <w:gridCol w:w="676"/>
        <w:gridCol w:w="316"/>
      </w:tblGrid>
      <w:tr>
        <w:trPr/>
        <w:tc>
          <w:tcPr>
            <w:tcW w:w="197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 in millions, except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2025</w:t>
            </w:r>
          </w:p>
        </w:tc>
      </w:tr>
      <w:tr>
        <w:trPr/>
        <w:tc>
          <w:tcPr>
            <w:tcW w:w="5460"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Revenues - GAAP</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187 </w:t>
            </w:r>
          </w:p>
        </w:tc>
        <w:tc>
          <w:tcPr>
            <w:tcW w:w="27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316 </w:t>
            </w:r>
          </w:p>
        </w:tc>
        <w:tc>
          <w:tcPr>
            <w:tcW w:w="316" w:type="dxa"/>
            <w:tcBorders>
              <w:top w:val="single" w:sz="8" w:space="0" w:color="000000"/>
              <w:right w:val="single" w:sz="8" w:space="0" w:color="000000"/>
            </w:tcBorders>
            <w:shd w:fill="CBDEAA"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316 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Operating income/(loss) from continuing operations - GAAP</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(244)</w:t>
            </w:r>
          </w:p>
        </w:tc>
        <w:tc>
          <w:tcPr>
            <w:tcW w:w="27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(32)</w:t>
            </w:r>
          </w:p>
        </w:tc>
        <w:tc>
          <w:tcPr>
            <w:tcW w:w="316" w:type="dxa"/>
            <w:tcBorders>
              <w:right w:val="single" w:sz="8" w:space="0" w:color="000000"/>
            </w:tcBorders>
            <w:shd w:fill="CBDEA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Income (loss) from continuing operations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(45)</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Diluted EPS from continuing operations - GAAP</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(10.70)</w:t>
            </w:r>
          </w:p>
        </w:tc>
        <w:tc>
          <w:tcPr>
            <w:tcW w:w="27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(1.70)</w:t>
            </w:r>
          </w:p>
        </w:tc>
        <w:tc>
          <w:tcPr>
            <w:tcW w:w="316" w:type="dxa"/>
            <w:tcBorders>
              <w:right w:val="single" w:sz="8" w:space="0" w:color="000000"/>
            </w:tcBorders>
            <w:shd w:fill="CBDEA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27 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 margin</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10.4 </w:t>
            </w:r>
          </w:p>
        </w:tc>
        <w:tc>
          <w:tcPr>
            <w:tcW w:w="271"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8.7 </w:t>
            </w:r>
          </w:p>
        </w:tc>
        <w:tc>
          <w:tcPr>
            <w:tcW w:w="316" w:type="dxa"/>
            <w:tcBorders>
              <w:right w:val="single" w:sz="8" w:space="0" w:color="000000"/>
            </w:tcBorders>
            <w:shd w:fill="CBDEAA" w:val="clear"/>
            <w:tcMar>
              <w:top w:w="0" w:type="dxa"/>
              <w:left w:w="0" w:type="dxa"/>
              <w:bottom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r>
      <w:tr>
        <w:trPr/>
        <w:tc>
          <w:tcPr>
            <w:tcW w:w="5460"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diluted EPS from continuing operations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7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(0.63)</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(0.84)</w:t>
            </w:r>
          </w:p>
        </w:tc>
        <w:tc>
          <w:tcPr>
            <w:tcW w:w="316"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Open Sans;sans-serif" w:hAnsi="Open Sans;sans-serif"/>
          <w:b/>
          <w:i/>
          <w:color w:val="444446"/>
          <w:sz w:val="18"/>
          <w:u w:val="single"/>
        </w:rPr>
        <w:t>Note:</w:t>
      </w:r>
      <w:r>
        <w:rPr>
          <w:color w:val="444446"/>
        </w:rPr>
        <w:t xml:space="preserve"> </w:t>
      </w:r>
      <w:r>
        <w:rPr>
          <w:rFonts w:ascii="Open Sans;sans-serif" w:hAnsi="Open Sans;sans-serif"/>
          <w:b w:val="false"/>
          <w:i/>
          <w:color w:val="444446"/>
          <w:sz w:val="18"/>
        </w:rPr>
        <w:t>Adjusted diluted earnings (loss) per share from continuing operations, Adjusted EBITDA and Adjusted EBITDA margin presented throughout this release are adjusted for unusual items; in addition, adjusted diluted earnings per share from continuing operations is adjusted for acquisition-related amortization expense. See below for definitions of these non-GAAP measures and reconciliations to the most directly comparable GAAP financial measures.</w:t>
      </w:r>
    </w:p>
    <w:p>
      <w:pPr>
        <w:pStyle w:val="TextBody"/>
        <w:bidi w:val="0"/>
        <w:spacing w:before="0" w:after="0"/>
        <w:jc w:val="left"/>
        <w:rPr/>
      </w:pPr>
      <w:r>
        <w:rPr/>
      </w:r>
    </w:p>
    <w:p>
      <w:pPr>
        <w:pStyle w:val="TextBody"/>
        <w:bidi w:val="0"/>
        <w:spacing w:lineRule="auto" w:line="417" w:before="100" w:after="283"/>
        <w:jc w:val="left"/>
        <w:rPr>
          <w:rFonts w:ascii="Open Sans;sans-serif" w:hAnsi="Open Sans;sans-serif"/>
          <w:b/>
          <w:color w:val="444446"/>
          <w:sz w:val="22"/>
          <w:u w:val="single"/>
        </w:rPr>
      </w:pPr>
      <w:r>
        <w:rPr>
          <w:rFonts w:ascii="Open Sans;sans-serif" w:hAnsi="Open Sans;sans-serif"/>
          <w:b/>
          <w:color w:val="444446"/>
          <w:sz w:val="22"/>
          <w:u w:val="single"/>
        </w:rPr>
        <w:t>Consolidated Second Quarter Operating Results</w: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 xml:space="preserve">Consolidated revenues from continuing operations were $187 million. Harsco Environmental realized an increase in revenues compared with the second quarter of 2025, while revenues for Harsco Rail were essentially unchanged year-on-year when excluding the contract exit impacts on revenues. </w:t>
      </w:r>
    </w:p>
    <w:p>
      <w:pPr>
        <w:pStyle w:val="TextBody"/>
        <w:bidi w:val="0"/>
        <w:spacing w:before="0" w:after="0"/>
        <w:jc w:val="left"/>
        <w:rPr/>
      </w:pPr>
      <w:r>
        <w:rPr/>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The Company's GAAP consolidated loss from continuing operations was $297 million for the second quarter of 2026, compared with a GAAP consolidated loss of $45 million in the same quarter of 2025. Meanwhile, Adjusted EBITDA totaled $34 million in the second quarter of 2026 versus $27 million in the second quarter of the prior year. The increase in adjusted earnings is attributable to Harsco Environmental. Note that these results now exclude Clean Earth (reported as Discontinued Operations) and reflect that central costs previously allocated to Clean Earth ($1.9 million per quarter) are now included in the Corporate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Second Quarter Business Review</w:t>
      </w:r>
    </w:p>
    <w:p>
      <w:pPr>
        <w:pStyle w:val="TextBody"/>
        <w:bidi w:val="0"/>
        <w:spacing w:before="0" w:after="0"/>
        <w:jc w:val="left"/>
        <w:rPr/>
      </w:pPr>
      <w:r>
        <w:rPr/>
      </w:r>
    </w:p>
    <w:p>
      <w:pPr>
        <w:pStyle w:val="TextBody"/>
        <w:bidi w:val="0"/>
        <w:spacing w:lineRule="auto" w:line="417" w:before="0" w:after="0"/>
        <w:jc w:val="left"/>
        <w:rPr>
          <w:rFonts w:ascii="Open Sans;sans-serif" w:hAnsi="Open Sans;sans-serif"/>
          <w:b/>
          <w:color w:val="444446"/>
          <w:sz w:val="22"/>
        </w:rPr>
      </w:pPr>
      <w:r>
        <w:rPr>
          <w:rFonts w:ascii="Open Sans;sans-serif" w:hAnsi="Open Sans;sans-serif"/>
          <w:b/>
          <w:color w:val="444446"/>
          <w:sz w:val="22"/>
        </w:rPr>
        <w:t>Harsco Environmental</w:t>
      </w:r>
    </w:p>
    <w:tbl>
      <w:tblPr>
        <w:tblW w:w="6120" w:type="dxa"/>
        <w:jc w:val="left"/>
        <w:tblInd w:w="0" w:type="dxa"/>
        <w:tblLayout w:type="fixed"/>
        <w:tblCellMar>
          <w:top w:w="28" w:type="dxa"/>
          <w:left w:w="28" w:type="dxa"/>
          <w:bottom w:w="28" w:type="dxa"/>
          <w:right w:w="28" w:type="dxa"/>
        </w:tblCellMar>
      </w:tblPr>
      <w:tblGrid>
        <w:gridCol w:w="1063"/>
        <w:gridCol w:w="935"/>
        <w:gridCol w:w="941"/>
        <w:gridCol w:w="109"/>
        <w:gridCol w:w="109"/>
        <w:gridCol w:w="109"/>
        <w:gridCol w:w="226"/>
        <w:gridCol w:w="526"/>
        <w:gridCol w:w="271"/>
        <w:gridCol w:w="109"/>
        <w:gridCol w:w="109"/>
        <w:gridCol w:w="109"/>
        <w:gridCol w:w="226"/>
        <w:gridCol w:w="526"/>
        <w:gridCol w:w="271"/>
        <w:gridCol w:w="109"/>
        <w:gridCol w:w="109"/>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Revenues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266 </w:t>
            </w:r>
          </w:p>
        </w:tc>
        <w:tc>
          <w:tcPr>
            <w:tcW w:w="27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258 </w:t>
            </w:r>
          </w:p>
        </w:tc>
        <w:tc>
          <w:tcPr>
            <w:tcW w:w="271" w:type="dxa"/>
            <w:tcBorders>
              <w:top w:val="single" w:sz="8" w:space="0" w:color="000000"/>
              <w:right w:val="single" w:sz="8" w:space="0" w:color="000000"/>
            </w:tcBorders>
            <w:shd w:fill="CBDEAA"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Operating income (loss)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4 </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left w:val="single" w:sz="8" w:space="0" w:color="000000"/>
            </w:tcBorders>
            <w:shd w:fill="CBDEAA" w:val="clear"/>
            <w:tcMar>
              <w:top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46 </w:t>
            </w:r>
          </w:p>
        </w:tc>
        <w:tc>
          <w:tcPr>
            <w:tcW w:w="27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52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40 </w:t>
            </w:r>
          </w:p>
        </w:tc>
        <w:tc>
          <w:tcPr>
            <w:tcW w:w="271" w:type="dxa"/>
            <w:tcBorders>
              <w:right w:val="single" w:sz="8" w:space="0" w:color="000000"/>
            </w:tcBorders>
            <w:shd w:fill="CBDEA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17.2 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15.5 </w:t>
            </w:r>
          </w:p>
        </w:tc>
        <w:tc>
          <w:tcPr>
            <w:tcW w:w="271"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77520"/>
                <wp:effectExtent l="0" t="0" r="0" b="0"/>
                <wp:wrapNone/>
                <wp:docPr id="10" name="Frame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6"/>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3</w:t>
                      </w:r>
                    </w:p>
                  </w:txbxContent>
                </v:textbox>
                <w10:wrap type="none"/>
              </v:rect>
            </w:pict>
          </mc:Fallback>
        </mc:AlternateContent>
      </w:r>
    </w:p>
    <w:p>
      <w:pPr>
        <w:pStyle w:val="TextBody"/>
        <w:bidi w:val="0"/>
        <w:spacing w:lineRule="auto" w:line="417" w:before="0" w:after="0"/>
        <w:jc w:val="left"/>
        <w:rPr/>
      </w:pPr>
      <w:r>
        <w:rPr>
          <w:rFonts w:ascii="Open Sans;sans-serif" w:hAnsi="Open Sans;sans-serif"/>
          <w:b w:val="false"/>
          <w:color w:val="444446"/>
          <w:sz w:val="22"/>
        </w:rPr>
        <w:t>Harsco Environmental revenues totaled $266 million in the second quarter of 2026, an increase of 3%</w:t>
      </w:r>
      <w:r>
        <w:rPr>
          <w:color w:val="000000"/>
        </w:rPr>
        <w:t xml:space="preserve"> </w:t>
      </w:r>
      <w:r>
        <w:rPr>
          <w:rFonts w:ascii="Open Sans;sans-serif" w:hAnsi="Open Sans;sans-serif"/>
          <w:b w:val="false"/>
          <w:color w:val="444446"/>
          <w:sz w:val="22"/>
        </w:rPr>
        <w:t>compared with the prior-year quarter. This revenue increase is attributable to higher volumes (services and ecoproducts) and higher services pricing. The segment's GAAP operating income was $13 million, and Adjusted EBITDA totaled $46 million in the second quarter of 2026. These figures compare with GAAP operating income of $4 million and Adjusted EBITDA of $40 million in the prior-year period. The year-on-year change in adjusted earnings reflects the above-mentioned factors as well as internal improvement actions. As a result, Harsco Environmental's Adjusted EBITDA margin increased to 17.2% in the second quarter of 2026 versus 15.5% in the comparable quarter of 2025.</w:t>
      </w:r>
    </w:p>
    <w:p>
      <w:pPr>
        <w:pStyle w:val="TextBody"/>
        <w:bidi w:val="0"/>
        <w:spacing w:before="0" w:after="0"/>
        <w:jc w:val="both"/>
        <w:rPr/>
      </w:pPr>
      <w:r>
        <w:rPr/>
      </w:r>
    </w:p>
    <w:p>
      <w:pPr>
        <w:pStyle w:val="TextBody"/>
        <w:bidi w:val="0"/>
        <w:spacing w:lineRule="auto" w:line="417" w:before="0" w:after="0"/>
        <w:jc w:val="left"/>
        <w:rPr>
          <w:rFonts w:ascii="Open Sans;sans-serif" w:hAnsi="Open Sans;sans-serif"/>
          <w:b/>
          <w:color w:val="444446"/>
          <w:sz w:val="22"/>
        </w:rPr>
      </w:pPr>
      <w:r>
        <w:rPr>
          <w:rFonts w:ascii="Open Sans;sans-serif" w:hAnsi="Open Sans;sans-serif"/>
          <w:b/>
          <w:color w:val="444446"/>
          <w:sz w:val="22"/>
        </w:rPr>
        <w:t>Harsco Rail</w:t>
      </w:r>
    </w:p>
    <w:tbl>
      <w:tblPr>
        <w:tblW w:w="6181" w:type="dxa"/>
        <w:jc w:val="left"/>
        <w:tblInd w:w="0" w:type="dxa"/>
        <w:tblLayout w:type="fixed"/>
        <w:tblCellMar>
          <w:top w:w="28" w:type="dxa"/>
          <w:left w:w="28" w:type="dxa"/>
          <w:bottom w:w="28" w:type="dxa"/>
          <w:right w:w="28" w:type="dxa"/>
        </w:tblCellMar>
      </w:tblPr>
      <w:tblGrid>
        <w:gridCol w:w="1063"/>
        <w:gridCol w:w="936"/>
        <w:gridCol w:w="941"/>
        <w:gridCol w:w="109"/>
        <w:gridCol w:w="109"/>
        <w:gridCol w:w="109"/>
        <w:gridCol w:w="226"/>
        <w:gridCol w:w="616"/>
        <w:gridCol w:w="271"/>
        <w:gridCol w:w="109"/>
        <w:gridCol w:w="109"/>
        <w:gridCol w:w="109"/>
        <w:gridCol w:w="226"/>
        <w:gridCol w:w="496"/>
        <w:gridCol w:w="271"/>
        <w:gridCol w:w="109"/>
        <w:gridCol w:w="109"/>
        <w:gridCol w:w="109"/>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52" w:type="dxa"/>
              <w:left w:w="14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Open Sans;sans-serif" w:hAnsi="Open Sans;sans-serif"/>
                <w:b/>
                <w:color w:val="444446"/>
                <w:sz w:val="18"/>
              </w:rPr>
            </w:pPr>
            <w:r>
              <w:rPr>
                <w:rFonts w:ascii="Open Sans;sans-serif" w:hAnsi="Open Sans;sans-serif"/>
                <w:b/>
                <w:color w:val="444446"/>
                <w:sz w:val="18"/>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left w:val="single" w:sz="8" w:space="0" w:color="000000"/>
            </w:tcBorders>
            <w:shd w:fill="CBDEAA" w:val="clear"/>
            <w:tcMar>
              <w:top w:w="0" w:type="dxa"/>
              <w:left w:w="14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Revenues - GAAP</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1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(79)</w:t>
            </w:r>
          </w:p>
        </w:tc>
        <w:tc>
          <w:tcPr>
            <w:tcW w:w="27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49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58 </w:t>
            </w:r>
          </w:p>
        </w:tc>
        <w:tc>
          <w:tcPr>
            <w:tcW w:w="271" w:type="dxa"/>
            <w:tcBorders>
              <w:top w:val="single" w:sz="8" w:space="0" w:color="000000"/>
              <w:right w:val="single" w:sz="8" w:space="0" w:color="000000"/>
            </w:tcBorders>
            <w:shd w:fill="CBDEAA"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58 </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left w:val="single" w:sz="8" w:space="0" w:color="000000"/>
            </w:tcBorders>
            <w:shd w:fill="CBDEAA" w:val="clear"/>
            <w:tcMar>
              <w:top w:w="0" w:type="dxa"/>
              <w:left w:w="14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Operating income (loss) - GAAP</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1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(221)</w:t>
            </w:r>
          </w:p>
        </w:tc>
        <w:tc>
          <w:tcPr>
            <w:tcW w:w="27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49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(20)</w:t>
            </w:r>
          </w:p>
        </w:tc>
        <w:tc>
          <w:tcPr>
            <w:tcW w:w="271" w:type="dxa"/>
            <w:tcBorders>
              <w:right w:val="single" w:sz="8" w:space="0" w:color="000000"/>
            </w:tcBorders>
            <w:shd w:fill="CBDEA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(3)</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left w:val="single" w:sz="8" w:space="0" w:color="000000"/>
              <w:bottom w:val="single" w:sz="8" w:space="0" w:color="000000"/>
            </w:tcBorders>
            <w:shd w:fill="CBDEAA" w:val="clear"/>
            <w:tcMar>
              <w:top w:w="0" w:type="dxa"/>
              <w:left w:w="14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8"/>
              </w:rPr>
            </w:pPr>
            <w:r>
              <w:rPr>
                <w:rFonts w:ascii="Open Sans;sans-serif" w:hAnsi="Open Sans;sans-serif"/>
                <w:b w:val="false"/>
                <w:color w:val="444446"/>
                <w:sz w:val="18"/>
              </w:rPr>
              <w:t>Adjusted EBITDA margin</w:t>
            </w:r>
          </w:p>
        </w:tc>
        <w:tc>
          <w:tcPr>
            <w:tcW w:w="327" w:type="dxa"/>
            <w:gridSpan w:val="3"/>
            <w:tcBorders>
              <w:bottom w:val="single" w:sz="8" w:space="0" w:color="000000"/>
            </w:tcBorders>
            <w:shd w:fill="CBDEA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BDEAA"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(8.0)</w:t>
            </w:r>
          </w:p>
        </w:tc>
        <w:tc>
          <w:tcPr>
            <w:tcW w:w="271" w:type="dxa"/>
            <w:tcBorders>
              <w:bottom w:val="single" w:sz="8" w:space="0" w:color="000000"/>
            </w:tcBorders>
            <w:shd w:fill="CBDEAA"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c>
          <w:tcPr>
            <w:tcW w:w="327" w:type="dxa"/>
            <w:gridSpan w:val="3"/>
            <w:tcBorders>
              <w:bottom w:val="single" w:sz="8" w:space="0" w:color="000000"/>
            </w:tcBorders>
            <w:shd w:fill="CBDEA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CBDEAA" w:val="clear"/>
            <w:tcMar>
              <w:top w:w="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(5.7)</w:t>
            </w:r>
          </w:p>
        </w:tc>
        <w:tc>
          <w:tcPr>
            <w:tcW w:w="271" w:type="dxa"/>
            <w:tcBorders>
              <w:bottom w:val="single" w:sz="8" w:space="0" w:color="000000"/>
              <w:right w:val="single" w:sz="8" w:space="0" w:color="000000"/>
            </w:tcBorders>
            <w:shd w:fill="CBDEAA" w:val="clear"/>
            <w:tcMar>
              <w:top w:w="0" w:type="dxa"/>
              <w:left w:w="0" w:type="dxa"/>
              <w:bottom w:w="30" w:type="dxa"/>
            </w:tcMar>
            <w:vAlign w:val="center"/>
          </w:tcPr>
          <w:p>
            <w:pPr>
              <w:pStyle w:val="TableContents"/>
              <w:bidi w:val="0"/>
              <w:spacing w:lineRule="auto" w:line="240" w:before="0" w:after="283"/>
              <w:jc w:val="right"/>
              <w:rPr>
                <w:rFonts w:ascii="Open Sans;sans-serif" w:hAnsi="Open Sans;sans-serif"/>
                <w:b w:val="false"/>
                <w:color w:val="444446"/>
                <w:sz w:val="18"/>
              </w:rPr>
            </w:pPr>
            <w:r>
              <w:rPr>
                <w:rFonts w:ascii="Open Sans;sans-serif" w:hAnsi="Open Sans;sans-serif"/>
                <w:b w:val="false"/>
                <w:color w:val="444446"/>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Harsco Rail revenues in the second quarter of 2026 totaled $(79) million. Excluding the adjustments resulting from the contract exits, revenues were $58 million, or unchanged year-over-year, as higher aftermarket volumes were offset by lower equipment and contracted services revenues. The segment's GAAP operating loss was $221 million, and Adjusted EBITDA loss was $5 million in the second quarter of 2026. These figures compare with a GAAP operating loss of $20 million and an Adjusted EBITDA loss of $3 million in the prior-year period. The year-on-year change in adjusted earnings is attributable to the above factors as well as a change in business mix.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Cash Flow</w: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Net cash used by operating activities was $297 million in the second quarter of 2026, compared with net cash provided by operating activities of $22 million in the prior-year period. Adjusted free cash flow was $(9) million in the second quarter of 2026, compared with $(39) million in the prior-year period (excluding Clean Earth and any transaction-related expenditures, which include the repayment of the Company's accounts receivable securitization facility). The change in adjusted free cash flow compared with the prior-year quarter is attributable to higher cash earnings (adjusted for unusual items), working capital improvements, and lower net capital expenditures in Harsco Environmental and Rail.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77520"/>
                <wp:effectExtent l="0" t="0" r="0" b="0"/>
                <wp:wrapNone/>
                <wp:docPr id="13" name="Frame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8"/>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4</w:t>
                      </w:r>
                    </w:p>
                  </w:txbxContent>
                </v:textbox>
                <w10:wrap type="none"/>
              </v:rect>
            </w:pict>
          </mc:Fallback>
        </mc:AlternateContent>
      </w: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2026 Outlook</w: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The Company is reaffirming its 2026 Adjusted EBITDA guidance for Harsco Environmental and Harsco Rail, with key business drivers as follows:</w:t>
      </w:r>
    </w:p>
    <w:p>
      <w:pPr>
        <w:pStyle w:val="TextBody"/>
        <w:bidi w:val="0"/>
        <w:spacing w:before="0" w:after="0"/>
        <w:jc w:val="left"/>
        <w:rPr/>
      </w:pPr>
      <w:r>
        <w:rPr/>
      </w:r>
    </w:p>
    <w:p>
      <w:pPr>
        <w:pStyle w:val="TextBody"/>
        <w:bidi w:val="0"/>
        <w:spacing w:lineRule="auto" w:line="417" w:before="0" w:after="0"/>
        <w:jc w:val="left"/>
        <w:rPr/>
      </w:pPr>
      <w:r>
        <w:rPr>
          <w:rFonts w:ascii="Open Sans;sans-serif" w:hAnsi="Open Sans;sans-serif"/>
          <w:b/>
          <w:color w:val="444446"/>
          <w:sz w:val="22"/>
          <w:u w:val="single"/>
        </w:rPr>
        <w:t>Harsco Environmental</w:t>
      </w:r>
      <w:r>
        <w:rPr>
          <w:color w:val="444446"/>
        </w:rPr>
        <w:t xml:space="preserve"> </w:t>
      </w:r>
      <w:r>
        <w:rPr>
          <w:rFonts w:ascii="Open Sans;sans-serif" w:hAnsi="Open Sans;sans-serif"/>
          <w:b w:val="false"/>
          <w:color w:val="444446"/>
          <w:sz w:val="22"/>
        </w:rPr>
        <w:t>Adjusted EBITDA of $170 million to $180 million, which is modestly above prior-year results at the mid-point of the range. Higher services and products demand, along with new sites and improvement initiatives, are expected to be offset by site exits and certain 2025 items that are not anticipated to repeat in 2026 (such as the recovery of certain sales tax expenses in Brazil).</w:t>
      </w:r>
    </w:p>
    <w:p>
      <w:pPr>
        <w:pStyle w:val="TextBody"/>
        <w:bidi w:val="0"/>
        <w:spacing w:before="0" w:after="0"/>
        <w:jc w:val="left"/>
        <w:rPr/>
      </w:pPr>
      <w:r>
        <w:rPr/>
      </w:r>
    </w:p>
    <w:p>
      <w:pPr>
        <w:pStyle w:val="TextBody"/>
        <w:bidi w:val="0"/>
        <w:spacing w:lineRule="auto" w:line="417" w:before="0" w:after="0"/>
        <w:jc w:val="left"/>
        <w:rPr/>
      </w:pPr>
      <w:r>
        <w:rPr>
          <w:rFonts w:ascii="Open Sans;sans-serif" w:hAnsi="Open Sans;sans-serif"/>
          <w:b/>
          <w:color w:val="444446"/>
          <w:sz w:val="22"/>
          <w:u w:val="single"/>
        </w:rPr>
        <w:t>Harsco Rail</w:t>
      </w:r>
      <w:r>
        <w:rPr>
          <w:color w:val="444446"/>
        </w:rPr>
        <w:t xml:space="preserve"> </w:t>
      </w:r>
      <w:r>
        <w:rPr>
          <w:rFonts w:ascii="Open Sans;sans-serif" w:hAnsi="Open Sans;sans-serif"/>
          <w:b w:val="false"/>
          <w:color w:val="444446"/>
          <w:sz w:val="22"/>
        </w:rPr>
        <w:t>Adjusted EBITDA of $(26) million to $(19) million, which is below 2025 as a result of lower standard equipment and contracted services demand and related manufacturing inefficiencies, partially offset by cost-out activities and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Conference Call</w:t>
      </w:r>
    </w:p>
    <w:p>
      <w:pPr>
        <w:pStyle w:val="TextBody"/>
        <w:bidi w:val="0"/>
        <w:spacing w:lineRule="auto" w:line="417" w:before="0" w:after="0"/>
        <w:jc w:val="left"/>
        <w:rPr/>
      </w:pPr>
      <w:r>
        <w:rPr>
          <w:rFonts w:ascii="Open Sans;sans-serif" w:hAnsi="Open Sans;sans-serif"/>
          <w:b w:val="false"/>
          <w:color w:val="444446"/>
          <w:sz w:val="22"/>
        </w:rPr>
        <w:t>The Company will hold a conference call today at 9.00 a.m. Eastern Time to discuss its results and respond to questions from the investment community. Those who wish to listen to the conference call webcast should visit</w:t>
      </w:r>
      <w:r>
        <w:rPr>
          <w:color w:val="000000"/>
        </w:rPr>
        <w:t xml:space="preserve"> </w:t>
      </w:r>
      <w:r>
        <w:rPr>
          <w:rFonts w:ascii="Open Sans;sans-serif" w:hAnsi="Open Sans;sans-serif"/>
          <w:b w:val="false"/>
          <w:color w:val="B5C93E"/>
          <w:sz w:val="22"/>
        </w:rPr>
        <w:t>investors.enviri.com</w:t>
      </w:r>
      <w:r>
        <w:rPr>
          <w:rFonts w:ascii="Open Sans;sans-serif" w:hAnsi="Open Sans;sans-serif"/>
          <w:b w:val="false"/>
          <w:color w:val="444446"/>
          <w:sz w:val="22"/>
        </w:rPr>
        <w:t>, or by dialing (844) 539-1331 or (412) 652-1264 for international callers. Please ask to join the Enviri Corporation call. Listeners are advised to dial in approximately ten minutes prior to the call. If you are unable to listen to the live call, the webcast will be archived on the Company’s website.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77520"/>
                <wp:effectExtent l="0" t="0" r="0" b="0"/>
                <wp:wrapNone/>
                <wp:docPr id="16" name="Frame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0"/>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5</w:t>
                      </w:r>
                    </w:p>
                  </w:txbxContent>
                </v:textbox>
                <w10:wrap type="none"/>
              </v:rect>
            </w:pict>
          </mc:Fallback>
        </mc:AlternateContent>
      </w: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Forward-Looking Statements</w: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The nature of the Company's business, together with the number of countries in which it operates, subject it to changing economic, competitive, regulatory and technological conditions, risks and uncertainties. In accordance with the "safe harbor" provisions of Section 27A of the Securities Act of 1933 and Section 21E of the Securities Exchange Act of 1934, the Company provides the following cautionary remarks regarding important factors that, among others, could cause future results to differ materially from the results contemplated by forward-looking statements, including the expectations and assumptions expressed or implied herein. Forward-looking statements contained herein could include, among other things, statements regarding the expected timing, completion and effects of the transactions contemplated by the Merger Agreement and the Separation Agreement, including the sale of Clean Earth and the spin-off of New Enviri; statements about management's confidence in and strategies for performance; expectations for new and existing products, technologies and opportunities; and expectations regarding growth, sales, cash flows, and earnings, including those under "2026 Outlook". Forward-looking statements can be identified by the use of such terms as "may," "could," "expect," "anticipate," "intend," "believe," "likely," "estimate," "outlook," "plan," "contemplate," "project," "target" or other comparable terms.</w:t>
      </w:r>
    </w:p>
    <w:p>
      <w:pPr>
        <w:pStyle w:val="TextBody"/>
        <w:bidi w:val="0"/>
        <w:spacing w:before="0" w:after="0"/>
        <w:jc w:val="left"/>
        <w:rPr/>
      </w:pPr>
      <w:r>
        <w:rPr/>
      </w:r>
    </w:p>
    <w:p>
      <w:pPr>
        <w:pStyle w:val="TextBody"/>
        <w:bidi w:val="0"/>
        <w:spacing w:lineRule="auto" w:line="417"/>
        <w:jc w:val="left"/>
        <w:rPr>
          <w:rFonts w:ascii="Open Sans;sans-serif" w:hAnsi="Open Sans;sans-serif"/>
          <w:b w:val="false"/>
          <w:color w:val="444446"/>
          <w:sz w:val="22"/>
        </w:rPr>
      </w:pPr>
      <w:r>
        <w:rPr>
          <w:rFonts w:ascii="Open Sans;sans-serif" w:hAnsi="Open Sans;sans-serif"/>
          <w:b w:val="false"/>
          <w:color w:val="444446"/>
          <w:sz w:val="22"/>
        </w:rPr>
        <w:t xml:space="preserve">Factors that could cause actual results to differ, perhaps materially, from those implied by forward-looking statements include, but are not limited to: (1) the possibility that the Merger and Separation may not ultimately achieve the expected benefits; (2) the Company's ability to effectively implement its business strategy and improvement initiatives and realize the expected benefits therefrom; (3) the Company's ability to successfully enter into new contracts and complete new acquisitions, divestitures, or strategic ventures in the time-frame contemplated or at all; (4) the Company’s inability to comply with applicable environmental and safety laws and regulations; (5) the Company’s inability to obtain, renew, or maintain compliance with its operating permits or license agreements; (6) various economic, business, and regulatory risks associated with the industries in which the Company operates; (7) the seasonal nature of the Company's business; (8) risks caused by customer concentration, fixed-price and long-term customer contracts, especially those related to complex engineered equipment and the competitive nature of the industries in which the Company operates; (9) the outcome of any disputes with customers, contractors and subcontractors; (10) the financial condition of the Company's customers, including the ability of customers (especially those that may be highly leveraged or have inadequate liquidity) to maintain their credit availability; (11) higher than expected claims under the Company’s insurance policies, or losses that are uninsurable or that exceed existing insurance coverage; (12) market and competitive changes, including pricing pressures, market demand and acceptance for new products, services and technologies; changes in currency exchange rates, interest rates, commodity and fuel costs and capital costs; (13) the Company's ability to negotiate, complete, and integrate strategic transactions and joint ventures with strategic partners; (14) the Company’s ability to attract and effectively retain key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77520"/>
                <wp:effectExtent l="0" t="0" r="0" b="0"/>
                <wp:wrapNone/>
                <wp:docPr id="19" name="Frame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2"/>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6</w:t>
                      </w:r>
                    </w:p>
                  </w:txbxContent>
                </v:textbox>
                <w10:wrap type="none"/>
              </v:rect>
            </w:pict>
          </mc:Fallback>
        </mc:AlternateConten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 xml:space="preserve">management and employees, including due to unanticipated changes to demand for the Company’s services, disruptions associated with labor disputes, and increased operating costs associated with union organizations; (15) the Company's inability or failure to protect its intellectual property rights from infringement in one or more of the many countries in which the Company operates; (16) failure to effectively prevent, detect or recover from breaches in the Company's cybersecurity infrastructure; (17) changes in the worldwide business environment in which the Company operates, including changes in general economic and industry conditions and cyclical slowdowns impacting the steel and aluminum industries; (18) fluctuations in exchange rates between the U.S. dollar and other currencies in which the Company conducts business; (19) unforeseen business disruptions in one or more of the many countries in which the Company operates due to changes in economic conditions, changes in governmental laws and regulations, including environmental, occupational health and safety, tax and import tariff standards and amounts; political instability, civil disobedience, armed hostilities, public health issues or other calamities; (20) liability for and implementation of environmental remediation matters; (21) product liability and warranty claims associated with the Company’s operations; (22) the Company’s ability to comply with financial covenants and obligations to financial counterparties; (23) the Company’s outstanding indebtedness and exposure to derivative financial instruments that may be impacted by, among other factors, changes in interest rates; (24) tax liabilities and changes in tax laws; (25) changes in the performance of equity and bond markets that could affect, among other things, the valuation of the assets in the Company's pension plans and the accounting for pension assets, liabilities and expenses; (26) risk and uncertainty associated with intangible assets; and (27) the other risk factors listed from time to time in the Company's SEC reports. A further discussion of these, along with other potential risk factors, can be found under the heading, "Risk Factors," of the Company's Information Statement, dated May 8, 2026, and attached as Exhibit 99.1 to the Company's Current Report on Form 8-K furnished to the SEC on May 11, 2026. The Company cautions that these factors may not be exhaustive and that many of these factors are beyond the Company's ability to control or predict. Accordingly, forward-looking statements should not be relied upon as a prediction of actual results. The Company undertakes no duty to update forward-looking statements except as may be required by law. </w:t>
      </w:r>
    </w:p>
    <w:p>
      <w:pPr>
        <w:pStyle w:val="TextBody"/>
        <w:bidi w:val="0"/>
        <w:spacing w:before="0" w:after="0"/>
        <w:jc w:val="left"/>
        <w:rPr/>
      </w:pPr>
      <w:r>
        <w:rPr/>
      </w:r>
    </w:p>
    <w:p>
      <w:pPr>
        <w:pStyle w:val="TextBody"/>
        <w:bidi w:val="0"/>
        <w:spacing w:lineRule="auto" w:line="417" w:before="0" w:after="0"/>
        <w:jc w:val="left"/>
        <w:rPr>
          <w:rFonts w:ascii="Open Sans;sans-serif" w:hAnsi="Open Sans;sans-serif"/>
          <w:b/>
          <w:color w:val="444446"/>
          <w:sz w:val="22"/>
          <w:u w:val="single"/>
        </w:rPr>
      </w:pPr>
      <w:r>
        <w:rPr>
          <w:rFonts w:ascii="Open Sans;sans-serif" w:hAnsi="Open Sans;sans-serif"/>
          <w:b/>
          <w:color w:val="444446"/>
          <w:sz w:val="22"/>
          <w:u w:val="single"/>
        </w:rPr>
        <w:t>Non-GAAP Measures</w: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Measurements of financial performance not calculated in accordance with GAAP should be considered as supplements to, and not substitutes for, performance measurements calculated or derived in accordance with GAAP. Any such measures are not necessarily comparable to other similarly-titled measurements employed by other companies. The most comparable GAAP measures are included within the definitions below and reconciliations of these non-GAAP measures to the most directly comparable GAAP financial measures are included at the end of this press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77520"/>
                <wp:effectExtent l="0" t="0" r="0" b="0"/>
                <wp:wrapNone/>
                <wp:docPr id="22" name="Frame1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4"/>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7</w:t>
                      </w:r>
                    </w:p>
                  </w:txbxContent>
                </v:textbox>
                <w10:wrap type="none"/>
              </v:rect>
            </w:pict>
          </mc:Fallback>
        </mc:AlternateContent>
      </w:r>
    </w:p>
    <w:p>
      <w:pPr>
        <w:pStyle w:val="TextBody"/>
        <w:bidi w:val="0"/>
        <w:spacing w:lineRule="auto" w:line="417" w:before="0" w:after="0"/>
        <w:jc w:val="left"/>
        <w:rPr/>
      </w:pPr>
      <w:r>
        <w:rPr>
          <w:rFonts w:ascii="Open Sans;sans-serif" w:hAnsi="Open Sans;sans-serif"/>
          <w:b/>
          <w:color w:val="444446"/>
          <w:sz w:val="22"/>
        </w:rPr>
        <w:t>Adjusted diluted earnings (loss) per share from continuing operations:</w:t>
      </w:r>
      <w:r>
        <w:rPr>
          <w:color w:val="444446"/>
        </w:rPr>
        <w:t xml:space="preserve"> </w:t>
      </w:r>
      <w:r>
        <w:rPr>
          <w:rFonts w:ascii="Open Sans;sans-serif" w:hAnsi="Open Sans;sans-serif"/>
          <w:b w:val="false"/>
          <w:color w:val="444446"/>
          <w:sz w:val="22"/>
        </w:rPr>
        <w:t xml:space="preserve">Adjusted diluted earnings (loss) per share from continuing operations is a non-GAAP financial measure and consists of diluted earnings (loss) per share from continuing operations adjusted for unusual items and acquisition-related intangible asset amortization expense. It is important to note that such intangible assets contribute to revenue generation and that intangible asset amortization related to past acquisitions will recur in future periods until such intangible assets have been fully amortized. The Company’s management believes Adjusted diluted earnings (loss) per share from continuing operations is useful to investors because it provides an overall understanding of the Company’s historical and future prospects. Exclusion of unusual items permits evaluation and comparison of results for the Company’s core business operations, and it is on this basis that management internally assesses the Company’s performance. Exclusion of acquisition-related intangible asset amortization expense, the amount of which can vary by the timing, size, and nature of the Company’s acquisitions, facilitates more consistent internal comparisons of operating results over time between the Company’s newly acquired and long-held businesses, and comparisons with both acquisitive and non-acquisitive peer companies. </w:t>
      </w:r>
    </w:p>
    <w:p>
      <w:pPr>
        <w:pStyle w:val="TextBody"/>
        <w:bidi w:val="0"/>
        <w:spacing w:before="0" w:after="0"/>
        <w:jc w:val="left"/>
        <w:rPr/>
      </w:pPr>
      <w:r>
        <w:rPr/>
      </w:r>
    </w:p>
    <w:p>
      <w:pPr>
        <w:pStyle w:val="TextBody"/>
        <w:bidi w:val="0"/>
        <w:spacing w:lineRule="auto" w:line="417" w:before="0" w:after="0"/>
        <w:jc w:val="left"/>
        <w:rPr/>
      </w:pPr>
      <w:r>
        <w:rPr>
          <w:rFonts w:ascii="Open Sans;sans-serif" w:hAnsi="Open Sans;sans-serif"/>
          <w:b/>
          <w:color w:val="444446"/>
          <w:sz w:val="22"/>
        </w:rPr>
        <w:t>Adjusted EBITDA:</w:t>
      </w:r>
      <w:r>
        <w:rPr>
          <w:color w:val="444446"/>
        </w:rPr>
        <w:t xml:space="preserve"> </w:t>
      </w:r>
      <w:r>
        <w:rPr>
          <w:rFonts w:ascii="Open Sans;sans-serif" w:hAnsi="Open Sans;sans-serif"/>
          <w:b w:val="false"/>
          <w:color w:val="444446"/>
          <w:sz w:val="22"/>
        </w:rPr>
        <w:t xml:space="preserve">Adjusted EBITDA is a non-GAAP financial measure and consists of income (loss) from continuing operations adjusted to add back income tax expense; equity income of unconsolidated entities, net; net interest expense; defined benefit pension income (expense); facility fees and debt-related income (expense); stock-based compensation expense; and depreciation and amortization (excluding amortization of deferred financing costs); and excludes unusual items. Segment Adjusted EBITDA consists of operating income from continuing operations adjusted to exclude unusual items and add back depreciation and amortization (excluding amortization of deferred financing costs). The sum of the Segments’ Adjusted EBITDA and Corporate Adjusted EBITDA (which is adjusted for all stock-based compensation expense) equals consolidated Adjusted EBITDA. The Company‘s management believes Adjusted EBITDA is meaningful to investors because management reviews Adjusted EBITDA in assessing and evaluating performance. </w:t>
      </w:r>
    </w:p>
    <w:p>
      <w:pPr>
        <w:pStyle w:val="TextBody"/>
        <w:bidi w:val="0"/>
        <w:spacing w:before="0" w:after="0"/>
        <w:jc w:val="left"/>
        <w:rPr/>
      </w:pPr>
      <w:r>
        <w:rPr/>
      </w:r>
    </w:p>
    <w:p>
      <w:pPr>
        <w:pStyle w:val="TextBody"/>
        <w:bidi w:val="0"/>
        <w:spacing w:lineRule="auto" w:line="417"/>
        <w:jc w:val="left"/>
        <w:rPr/>
      </w:pPr>
      <w:r>
        <w:rPr>
          <w:rFonts w:ascii="Open Sans;sans-serif" w:hAnsi="Open Sans;sans-serif"/>
          <w:b/>
          <w:color w:val="444446"/>
          <w:sz w:val="22"/>
        </w:rPr>
        <w:t>Adjusted free cash flow:</w:t>
      </w:r>
      <w:r>
        <w:rPr>
          <w:color w:val="444446"/>
        </w:rPr>
        <w:t xml:space="preserve"> </w:t>
      </w:r>
      <w:r>
        <w:rPr>
          <w:rFonts w:ascii="Open Sans;sans-serif" w:hAnsi="Open Sans;sans-serif"/>
          <w:b w:val="false"/>
          <w:color w:val="444446"/>
          <w:sz w:val="22"/>
        </w:rPr>
        <w:t xml:space="preserve">Adjusted free cash flow is a non-GAAP financial measure and consists of net cash provided (used) by operating activities less capital expenditures and expenditures for intangible assets; and plus capital expenditures for strategic ventures, total proceeds from sales of assets and certain transaction-related / debt-refinancing expenditures. Adjusted free cash flow also excludes the impact of the Clean Earth business. The Company's management believes that Adjusted free cash flow is important to management and useful to investors as a supplemental measure as it indicates the cash flow available for working capital needs, repay debt obligations, invest in future growth through new business development activities, conduct strategic acquisitions or other uses of cash. It is important to note that Adjusted free cash flow does not represent the total residual cash flow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77520"/>
                <wp:effectExtent l="0" t="0" r="0" b="0"/>
                <wp:wrapNone/>
                <wp:docPr id="25" name="Frame1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6"/>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8</w:t>
                      </w:r>
                    </w:p>
                  </w:txbxContent>
                </v:textbox>
                <w10:wrap type="none"/>
              </v:rect>
            </w:pict>
          </mc:Fallback>
        </mc:AlternateContent>
      </w:r>
    </w:p>
    <w:p>
      <w:pPr>
        <w:pStyle w:val="TextBody"/>
        <w:bidi w:val="0"/>
        <w:spacing w:lineRule="auto" w:line="417" w:before="0" w:after="0"/>
        <w:jc w:val="left"/>
        <w:rPr>
          <w:rFonts w:ascii="Open Sans;sans-serif" w:hAnsi="Open Sans;sans-serif"/>
          <w:b w:val="false"/>
          <w:color w:val="444446"/>
          <w:sz w:val="22"/>
        </w:rPr>
      </w:pPr>
      <w:r>
        <w:rPr>
          <w:rFonts w:ascii="Open Sans;sans-serif" w:hAnsi="Open Sans;sans-serif"/>
          <w:b w:val="false"/>
          <w:color w:val="444446"/>
          <w:sz w:val="22"/>
        </w:rPr>
        <w:t>available for discretionary expenditures since other non-discretionary expenditures, such as mandatory debt service requirements and settlements of foreign currency forward exchange contracts, are not deducted from this measure. This presentation provides a basis for comparison of ongoing operations and prospects.</w:t>
      </w:r>
    </w:p>
    <w:p>
      <w:pPr>
        <w:pStyle w:val="TextBody"/>
        <w:bidi w:val="0"/>
        <w:spacing w:lineRule="auto" w:line="417" w:before="0" w:after="0"/>
        <w:jc w:val="center"/>
        <w:rPr>
          <w:rFonts w:ascii="Open Sans;sans-serif" w:hAnsi="Open Sans;sans-serif"/>
          <w:b w:val="false"/>
          <w:color w:val="444446"/>
          <w:sz w:val="22"/>
        </w:rPr>
      </w:pPr>
      <w:r>
        <w:rPr>
          <w:rFonts w:ascii="Open Sans;sans-serif" w:hAnsi="Open Sans;sans-serif"/>
          <w:b w:val="false"/>
          <w:color w:val="444446"/>
          <w:sz w:val="22"/>
        </w:rPr>
        <w:t># # #</w:t>
      </w:r>
    </w:p>
    <w:p>
      <w:pPr>
        <w:pStyle w:val="TextBody"/>
        <w:bidi w:val="0"/>
        <w:spacing w:before="0" w:after="0"/>
        <w:jc w:val="both"/>
        <w:rPr/>
      </w:pPr>
      <w:r>
        <w:rPr/>
      </w:r>
    </w:p>
    <w:p>
      <w:pPr>
        <w:pStyle w:val="TextBody"/>
        <w:bidi w:val="0"/>
        <w:spacing w:lineRule="auto" w:line="417" w:before="0" w:after="0"/>
        <w:jc w:val="both"/>
        <w:rPr>
          <w:rFonts w:ascii="Open Sans;sans-serif" w:hAnsi="Open Sans;sans-serif"/>
          <w:b/>
          <w:color w:val="444446"/>
          <w:sz w:val="32"/>
        </w:rPr>
      </w:pPr>
      <w:r>
        <w:rPr>
          <w:rFonts w:ascii="Open Sans;sans-serif" w:hAnsi="Open Sans;sans-serif"/>
          <w:b/>
          <w:color w:val="444446"/>
          <w:sz w:val="32"/>
        </w:rPr>
        <w:t>About Enviri</w:t>
      </w:r>
    </w:p>
    <w:p>
      <w:pPr>
        <w:pStyle w:val="TextBody"/>
        <w:bidi w:val="0"/>
        <w:spacing w:lineRule="auto" w:line="417" w:before="0" w:after="0"/>
        <w:jc w:val="left"/>
        <w:rPr/>
      </w:pPr>
      <w:r>
        <w:rPr>
          <w:rFonts w:ascii="Open Sans;sans-serif" w:hAnsi="Open Sans;sans-serif"/>
          <w:b w:val="false"/>
          <w:color w:val="444446"/>
          <w:sz w:val="22"/>
        </w:rPr>
        <w:t xml:space="preserve">Enviri is a global market leader providing environmental and operational solutions to the metal and rail industries. Based in Philadelphia, Pennsylvania, and operating in more than 30 countries, the company leverages over 170 years of industrial expertise to help customers improve operational performance, recover value from byproducts, enhance sustainability, and maintain critical infrastructure. Enviri's divisions, Harsco Environmental and Harsco Rail, combine deep operational capabilities with innovative technologies and global scale to deliver long-term value for customers, communities, and shareholders. Learn more at </w:t>
      </w:r>
      <w:r>
        <w:rPr>
          <w:rFonts w:ascii="Open Sans;sans-serif" w:hAnsi="Open Sans;sans-serif"/>
          <w:b w:val="false"/>
          <w:color w:val="B5C93E"/>
          <w:sz w:val="22"/>
        </w:rPr>
        <w:t>enviri.com.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77520"/>
                <wp:effectExtent l="0" t="0" r="0" b="0"/>
                <wp:wrapNone/>
                <wp:docPr id="28" name="Frame1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8"/>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9"/>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0"/>
        <w:gridCol w:w="1214"/>
        <w:gridCol w:w="1218"/>
        <w:gridCol w:w="109"/>
        <w:gridCol w:w="109"/>
        <w:gridCol w:w="109"/>
        <w:gridCol w:w="226"/>
        <w:gridCol w:w="983"/>
        <w:gridCol w:w="109"/>
        <w:gridCol w:w="109"/>
        <w:gridCol w:w="109"/>
        <w:gridCol w:w="109"/>
        <w:gridCol w:w="211"/>
        <w:gridCol w:w="826"/>
        <w:gridCol w:w="109"/>
        <w:gridCol w:w="109"/>
        <w:gridCol w:w="109"/>
        <w:gridCol w:w="109"/>
        <w:gridCol w:w="226"/>
        <w:gridCol w:w="983"/>
        <w:gridCol w:w="109"/>
        <w:gridCol w:w="109"/>
        <w:gridCol w:w="109"/>
        <w:gridCol w:w="109"/>
        <w:gridCol w:w="211"/>
        <w:gridCol w:w="826"/>
        <w:gridCol w:w="109"/>
        <w:gridCol w:w="157"/>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ENVIRI CORPORATION</w:t>
            </w:r>
          </w:p>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 xml:space="preserve">CONSOLIDATED STATEMENTS OF OPERATIONS </w:t>
            </w:r>
          </w:p>
          <w:p>
            <w:pPr>
              <w:pStyle w:val="TableContents"/>
              <w:bidi w:val="0"/>
              <w:spacing w:lineRule="auto" w:line="240" w:before="0" w:after="0"/>
              <w:jc w:val="left"/>
              <w:rPr>
                <w:rFonts w:ascii="Open Sans;sans-serif" w:hAnsi="Open Sans;sans-serif"/>
                <w:b w:val="false"/>
                <w:color w:val="444446"/>
                <w:sz w:val="18"/>
              </w:rPr>
            </w:pPr>
            <w:r>
              <w:rPr>
                <w:rFonts w:ascii="Open Sans;sans-serif" w:hAnsi="Open Sans;sans-serif"/>
                <w:b w:val="false"/>
                <w:color w:val="444446"/>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Six Months 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Revenues from continuing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257,856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516,126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Product revenues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65,985</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57,013 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131,763</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128,457 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Product revenues - Rail contract exit-related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(136,499)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(136,499)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revenues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187,342</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315,972 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511,390</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629,025 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Costs and expenses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Cost of services sold</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214,536</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214,903 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427,723</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413,714 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60,139</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122,403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Cost of products sold - Rail contract exit-related adjustments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70,890</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70,890</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49,062</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101,430</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Research and development expenses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654</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775 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1,072</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1,309 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Property, plant and equipment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expense (income), net</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36,484</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2,379 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38,180</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6,590 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431,765</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347,555 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761,698</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655,560 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Operating income (loss) from continuing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(244,423)</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(31,583)</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(250,308)</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(26,535)</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580</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1,038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expense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(8,239)</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(8,739)</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(16,766)</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(17,445)</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Facility fees and debt-related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Defined benefit pension income (expense)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(3,918)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(5,555)</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(7,854)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(10,756)</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16"/>
              </w:rPr>
            </w:pPr>
            <w:r>
              <w:rPr>
                <w:rFonts w:ascii="Open Sans;sans-serif" w:hAnsi="Open Sans;sans-serif"/>
                <w:b/>
                <w:color w:val="444446"/>
                <w:sz w:val="16"/>
              </w:rPr>
              <w:t>Income (loss) from continuing operations before income taxes and equity in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(256,318)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(45,617)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(274,428)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(54,438)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tax benefit (expense) from continuing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(40,548)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905 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(45,694)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4,325 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Equity in income (loss) of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50</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Income (loss) from continuing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(296,816)</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(44,668)</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(320,049)</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(50,041)</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(loss) from discontinued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(91,927)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2,182 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(108,172)</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4,753 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tax benefit (expense)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24,173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405"/>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Income (loss) from discontinued operations, net of tax</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(97,694)</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(2,087)</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(83,999)</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(4,525)</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(394,510)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(46,755)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(404,048)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(54,566)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Less: Net loss (income) attributable to noncontrolling interests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(1,485)</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(1,058)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(2,612)</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(2,259)</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income (loss) attributable to Enviri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(395,995)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(406,660)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(56,825)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Amounts attributable to Enviri Corporation common stockholders: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(298,301)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(322,661)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(loss) from discontinued operations, net of tax</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(97,694)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(2,087)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(83,999)</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(4,525)</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405"/>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income (loss) attributable to Enviri Corporation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(395,995)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(406,660)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(56,825)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Weighted-average shares of common stock outstanding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27,877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27,655</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27"/>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Basic earnings (loss) per common share attributable to Enviri Corporation common stockholders: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Discontinued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(3.50)</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(0.08)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(3.04)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(0.17)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444446"/>
                <w:sz w:val="16"/>
              </w:rPr>
              <w:t xml:space="preserve">Basic earnings (loss) per share attributable to Enviri Corporation common stockholders </w:t>
            </w:r>
            <w:r>
              <w:rPr>
                <w:rFonts w:ascii="Open Sans;sans-serif" w:hAnsi="Open Sans;sans-serif"/>
                <w:b/>
                <w:color w:val="444446"/>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Diluted weighted-average shares of common stock outstanding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27,877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27,655</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27"/>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Diluted earnings (loss) per common share attributable to Enviri Corporation common stockholders: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Discontinued operations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(3.50)</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(0.08)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(3.04)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(0.17)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444446"/>
                <w:sz w:val="16"/>
              </w:rPr>
              <w:t xml:space="preserve">Diluted earnings (loss) per share attributable to Enviri Corporation common stockholders </w:t>
            </w:r>
            <w:r>
              <w:rPr>
                <w:rFonts w:ascii="Open Sans;sans-serif" w:hAnsi="Open Sans;sans-serif"/>
                <w:b/>
                <w:color w:val="444446"/>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Weighted-average shares outstanding and earnings per share amounts for periods prior to the completion of the spin off have been retrospectively adjusted to reflect the impact of the Transactions on the Company's capital structure.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Earnings (loss) per share attributable to Enviri Corporation common stockholders is calculated based on actual amounts. As a result, these per share amounts may not total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77520"/>
                <wp:effectExtent l="0" t="0" r="0" b="0"/>
                <wp:wrapNone/>
                <wp:docPr id="31" name="Frame1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0"/>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1"/>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10</w:t>
                      </w:r>
                    </w:p>
                  </w:txbxContent>
                </v:textbox>
                <w10:wrap type="none"/>
              </v:rect>
            </w:pict>
          </mc:Fallback>
        </mc:AlternateContent>
      </w:r>
    </w:p>
    <w:tbl>
      <w:tblPr>
        <w:tblW w:w="8054" w:type="dxa"/>
        <w:jc w:val="left"/>
        <w:tblInd w:w="0" w:type="dxa"/>
        <w:tblLayout w:type="fixed"/>
        <w:tblCellMar>
          <w:top w:w="28" w:type="dxa"/>
          <w:left w:w="28" w:type="dxa"/>
          <w:bottom w:w="28" w:type="dxa"/>
          <w:right w:w="28" w:type="dxa"/>
        </w:tblCellMar>
      </w:tblPr>
      <w:tblGrid>
        <w:gridCol w:w="1656"/>
        <w:gridCol w:w="1457"/>
        <w:gridCol w:w="1462"/>
        <w:gridCol w:w="109"/>
        <w:gridCol w:w="109"/>
        <w:gridCol w:w="109"/>
        <w:gridCol w:w="226"/>
        <w:gridCol w:w="1126"/>
        <w:gridCol w:w="109"/>
        <w:gridCol w:w="109"/>
        <w:gridCol w:w="109"/>
        <w:gridCol w:w="109"/>
        <w:gridCol w:w="214"/>
        <w:gridCol w:w="994"/>
        <w:gridCol w:w="156"/>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ENVIRI CORPORATION</w:t>
            </w:r>
          </w:p>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CONSOLIDATED BALANCE SHEETS</w:t>
            </w:r>
          </w:p>
          <w:p>
            <w:pPr>
              <w:pStyle w:val="TableContents"/>
              <w:bidi w:val="0"/>
              <w:spacing w:lineRule="auto" w:line="240" w:before="0" w:after="0"/>
              <w:jc w:val="left"/>
              <w:rPr>
                <w:rFonts w:ascii="Open Sans;sans-serif" w:hAnsi="Open Sans;sans-serif"/>
                <w:b w:val="false"/>
                <w:color w:val="444446"/>
                <w:sz w:val="18"/>
              </w:rPr>
            </w:pPr>
            <w:r>
              <w:rPr>
                <w:rFonts w:ascii="Open Sans;sans-serif" w:hAnsi="Open Sans;sans-serif"/>
                <w:b w:val="false"/>
                <w:color w:val="444446"/>
                <w:sz w:val="18"/>
              </w:rPr>
              <w:t>(Unaudited)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Open Sans;sans-serif" w:hAnsi="Open Sans;sans-serif"/>
                <w:b/>
                <w:sz w:val="16"/>
              </w:rPr>
              <w:br/>
            </w:r>
            <w:r>
              <w:rPr>
                <w:rFonts w:ascii="Open Sans;sans-serif" w:hAnsi="Open Sans;sans-serif"/>
                <w:b/>
                <w:color w:val="444446"/>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December 31</w:t>
              <w:br/>
              <w:t>2025</w:t>
            </w:r>
          </w:p>
        </w:tc>
      </w:tr>
      <w:tr>
        <w:trPr/>
        <w:tc>
          <w:tcPr>
            <w:tcW w:w="4575"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ASSETS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Cash and cash equivalents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26"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253,427</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4" w:type="dxa"/>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103,487 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49,915</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Trade accounts receivable, net</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249,730</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267,439 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28,938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43,627 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Inventories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134,094</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171,718 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Current portion of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28,277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Prepaid expenses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30,636</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52,521 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Current portion of assets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24,173 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current assets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15,852</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9,256 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790,869</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720,866 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Property, plant and equipment, net</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405,394</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424,099 </w:t>
            </w:r>
          </w:p>
        </w:tc>
        <w:tc>
          <w:tcPr>
            <w:tcW w:w="156"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30,043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34,267 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Goodwill</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374,579</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379,381 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14,723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16,095 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Retirement plan assets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56,764</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55,743 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10,078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Assets held-for-sale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1,013,055 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40,336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53,931 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assets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1,722,786</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2,742,789 </w:t>
            </w:r>
          </w:p>
        </w:tc>
        <w:tc>
          <w:tcPr>
            <w:tcW w:w="156"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Current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79</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Current maturities of long-term debt</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8,469</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14,373 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154,917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163,989 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Accrued compensation</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41,055</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43,130 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5,845</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Reserve for contracts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189,525</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61,037 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Current portion of advances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8,763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Current portion of operating lease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10,551</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11,654 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12,757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Current portion of liabilities held-for-sale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174,265 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119,237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121,182 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current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551,198</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634,209 </w:t>
            </w:r>
          </w:p>
        </w:tc>
        <w:tc>
          <w:tcPr>
            <w:tcW w:w="156"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380,539</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1,480,072 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Retirement plan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23,732</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26,208 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20,626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Environmental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19,105</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19,105 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5,976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Liabilities held-for-sale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214,314 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38,923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liabilities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1,040,099</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2,447,202 </w:t>
            </w:r>
          </w:p>
        </w:tc>
        <w:tc>
          <w:tcPr>
            <w:tcW w:w="156"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 xml:space="preserve">ENVIRI CORPORATION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Common stock</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149,519 </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680</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273,436 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Accumulated other comprehensive loss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(495,267)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(514,481)</w:t>
            </w:r>
          </w:p>
        </w:tc>
        <w:tc>
          <w:tcPr>
            <w:tcW w:w="156"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77520"/>
                <wp:effectExtent l="0" t="0" r="0" b="0"/>
                <wp:wrapNone/>
                <wp:docPr id="34" name="Frame1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2"/>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3"/>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11</w:t>
                      </w:r>
                    </w:p>
                  </w:txbxContent>
                </v:textbox>
                <w10:wrap type="none"/>
              </v:rect>
            </w:pict>
          </mc:Fallback>
        </mc:AlternateContent>
      </w:r>
    </w:p>
    <w:tbl>
      <w:tblPr>
        <w:tblW w:w="7806" w:type="dxa"/>
        <w:jc w:val="left"/>
        <w:tblInd w:w="0" w:type="dxa"/>
        <w:tblLayout w:type="fixed"/>
        <w:tblCellMar>
          <w:top w:w="28" w:type="dxa"/>
          <w:left w:w="28" w:type="dxa"/>
          <w:bottom w:w="28" w:type="dxa"/>
          <w:right w:w="28" w:type="dxa"/>
        </w:tblCellMar>
      </w:tblPr>
      <w:tblGrid>
        <w:gridCol w:w="1574"/>
        <w:gridCol w:w="1384"/>
        <w:gridCol w:w="1392"/>
        <w:gridCol w:w="109"/>
        <w:gridCol w:w="109"/>
        <w:gridCol w:w="109"/>
        <w:gridCol w:w="226"/>
        <w:gridCol w:w="1126"/>
        <w:gridCol w:w="109"/>
        <w:gridCol w:w="109"/>
        <w:gridCol w:w="109"/>
        <w:gridCol w:w="109"/>
        <w:gridCol w:w="211"/>
        <w:gridCol w:w="976"/>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1,133,668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1,211,234 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Treasury stock</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(864,646)</w:t>
            </w:r>
          </w:p>
        </w:tc>
        <w:tc>
          <w:tcPr>
            <w:tcW w:w="15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Enviri Corporation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639,081</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255,062 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Noncontrolling interests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43,606</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40,525 </w:t>
            </w:r>
          </w:p>
        </w:tc>
        <w:tc>
          <w:tcPr>
            <w:tcW w:w="15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682,687</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295,587 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Total liabilities and equity</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2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1,722,786</w:t>
            </w:r>
            <w:r>
              <w:rPr>
                <w:color w:val="444446"/>
              </w:rPr>
              <w:t> </w:t>
            </w:r>
          </w:p>
        </w:tc>
        <w:tc>
          <w:tcPr>
            <w:tcW w:w="10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7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2,742,789 </w:t>
            </w:r>
          </w:p>
        </w:tc>
        <w:tc>
          <w:tcPr>
            <w:tcW w:w="154"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77520"/>
                <wp:effectExtent l="0" t="0" r="0" b="0"/>
                <wp:wrapNone/>
                <wp:docPr id="37" name="Frame1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4"/>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5"/>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8"/>
        <w:gridCol w:w="1060"/>
        <w:gridCol w:w="1063"/>
        <w:gridCol w:w="111"/>
        <w:gridCol w:w="111"/>
        <w:gridCol w:w="111"/>
        <w:gridCol w:w="232"/>
        <w:gridCol w:w="1005"/>
        <w:gridCol w:w="111"/>
        <w:gridCol w:w="109"/>
        <w:gridCol w:w="109"/>
        <w:gridCol w:w="109"/>
        <w:gridCol w:w="211"/>
        <w:gridCol w:w="826"/>
        <w:gridCol w:w="109"/>
        <w:gridCol w:w="109"/>
        <w:gridCol w:w="109"/>
        <w:gridCol w:w="109"/>
        <w:gridCol w:w="226"/>
        <w:gridCol w:w="977"/>
        <w:gridCol w:w="109"/>
        <w:gridCol w:w="109"/>
        <w:gridCol w:w="109"/>
        <w:gridCol w:w="109"/>
        <w:gridCol w:w="211"/>
        <w:gridCol w:w="826"/>
        <w:gridCol w:w="497"/>
      </w:tblGrid>
      <w:tr>
        <w:trPr/>
        <w:tc>
          <w:tcPr>
            <w:tcW w:w="14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ENVIRI CORPORATION</w:t>
            </w:r>
          </w:p>
          <w:p>
            <w:pPr>
              <w:pStyle w:val="TableContents"/>
              <w:bidi w:val="0"/>
              <w:spacing w:lineRule="auto" w:line="240" w:before="0" w:after="0"/>
              <w:jc w:val="left"/>
              <w:rPr>
                <w:rFonts w:ascii="Open Sans;sans-serif" w:hAnsi="Open Sans;sans-serif"/>
                <w:b/>
                <w:color w:val="444446"/>
                <w:sz w:val="18"/>
              </w:rPr>
            </w:pPr>
            <w:r>
              <w:rPr>
                <w:rFonts w:ascii="Open Sans;sans-serif" w:hAnsi="Open Sans;sans-serif"/>
                <w:b/>
                <w:color w:val="444446"/>
                <w:sz w:val="18"/>
              </w:rPr>
              <w:t xml:space="preserve">CONSOLIDATED STATEMENTS OF CASH FLOWS </w:t>
            </w:r>
          </w:p>
          <w:p>
            <w:pPr>
              <w:pStyle w:val="TableContents"/>
              <w:bidi w:val="0"/>
              <w:spacing w:lineRule="auto" w:line="240" w:before="0" w:after="0"/>
              <w:jc w:val="left"/>
              <w:rPr/>
            </w:pPr>
            <w:r>
              <w:rPr>
                <w:rFonts w:ascii="Open Sans;sans-serif" w:hAnsi="Open Sans;sans-serif"/>
                <w:b w:val="false"/>
                <w:color w:val="444446"/>
                <w:sz w:val="18"/>
              </w:rPr>
              <w:t>(Unaudited</w:t>
            </w:r>
            <w:r>
              <w:rPr>
                <w:rFonts w:ascii="Open Sans;sans-serif" w:hAnsi="Open Sans;sans-serif"/>
                <w:b w:val="false"/>
                <w:i/>
                <w:color w:val="444446"/>
                <w:sz w:val="18"/>
              </w:rPr>
              <w:t>)</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444446"/>
                <w:sz w:val="16"/>
              </w:rPr>
            </w:pPr>
            <w:r>
              <w:rPr>
                <w:rFonts w:ascii="Open Sans;sans-serif" w:hAnsi="Open Sans;sans-serif"/>
                <w:b/>
                <w:color w:val="444446"/>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444446"/>
                <w:sz w:val="16"/>
              </w:rPr>
            </w:pPr>
            <w:r>
              <w:rPr>
                <w:rFonts w:ascii="Open Sans;sans-serif" w:hAnsi="Open Sans;sans-serif"/>
                <w:b/>
                <w:color w:val="444446"/>
                <w:sz w:val="16"/>
              </w:rPr>
              <w:t>Six Months Ended June 30</w:t>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r>
      <w:tr>
        <w:trPr/>
        <w:tc>
          <w:tcPr>
            <w:tcW w:w="3551"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Cash flows from operating activities: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Net income (loss)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(394,510)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(46,755)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(54,566)</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Adjustments to reconcile net income (loss) to net cash provided by operating activities:</w:t>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36,410</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76,838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74,343 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5,809</w:t>
            </w:r>
            <w:r>
              <w:rPr>
                <w:color w:val="444446"/>
              </w:rPr>
              <w:t> </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7,561 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13,653</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14,964 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Deferred income tax (benefit) expense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40,580</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10,419</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(7,999)</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Equity in (income) loss of unconsolidated entities, net</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(50)</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(73)</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Right-of-use assets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6,724</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15,067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15,127 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Property, plant and equipment impairment charge</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7,386 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7,386 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9,144</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11,473</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9,760 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 charges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74,969</w:t>
            </w:r>
            <w:r>
              <w:rPr>
                <w:color w:val="444446"/>
              </w:rPr>
              <w:t> </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74,969</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2,852</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1,177</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(3,149)</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9"/>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Changes in assets and liabilities, net of acquisitions and dispositions of businesses:</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Accounts receivable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(153,786)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(170,120)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(13,887)</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Inventories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9,239</w:t>
            </w:r>
            <w:r>
              <w:rPr>
                <w:color w:val="444446"/>
              </w:rPr>
              <w:t> </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695 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16,626</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(7,283)</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assets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2,046</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12,413 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Accounts payable</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(36,652)</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1,578 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(20,356)</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10,716 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Accrued interest payable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(4,695)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539 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Accrued compensation</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(24,765)</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3,672 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(16,717)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(11,433)</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Advances on contracts and other customer advances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534</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(18,324)</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lease liabilities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(6,307)</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(7,643)</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(14,630)</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(15,078)</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Retirement plan liabilities,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3,536</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7,066</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9,717 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Reserve for contracts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132,923</w:t>
            </w:r>
            <w:r>
              <w:rPr>
                <w:color w:val="444446"/>
              </w:rPr>
              <w:t> </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2,570 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129,519</w:t>
            </w: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(6,477)</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assets and 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9,141</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11,876 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cash (used) provided by operating activities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(296,938)</w:t>
            </w:r>
          </w:p>
        </w:tc>
        <w:tc>
          <w:tcPr>
            <w:tcW w:w="11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21,973 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(275,402)</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28,573 </w:t>
            </w:r>
          </w:p>
        </w:tc>
        <w:tc>
          <w:tcPr>
            <w:tcW w:w="49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Cash flows from investing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Purchases of property, plant and equipment</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(34,660)</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(39,035)</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(68,387)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(60,659)</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Proceeds from CE Holdings Note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1,724,804</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1,724,804</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Deposit for commercial commitments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(25,000)</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(25,000)</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Proceeds from sales of assets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5,069</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7,019</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3,764 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Expenditures for intangible assets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(23)</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(208)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(51)</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Net proceeds (payments) from settlement of foreign currency forward exchange contracts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852</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(4,296)</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cash (used) provided by investing activities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1,669,748</w:t>
            </w:r>
            <w:r>
              <w:rPr>
                <w:color w:val="444446"/>
              </w:rPr>
              <w:t> </w:t>
            </w:r>
          </w:p>
        </w:tc>
        <w:tc>
          <w:tcPr>
            <w:tcW w:w="11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(42,795)</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1,639,080</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(61,242)</w:t>
            </w:r>
          </w:p>
        </w:tc>
        <w:tc>
          <w:tcPr>
            <w:tcW w:w="49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Cash flows from financing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Short-term borrowings, net</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(7,847)</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3,019 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(7,738)</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5,831 </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Borrowings and repayments under Revolving Credit Facility,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(557,000)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(526,000)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62,000 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Repayments of Term Loan</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(105,556)</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(1,250)</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(106,806)</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(2,500)</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Repayments of Senior Notes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(475,000)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Cash paid for finance leases and other long-term debt</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(5,059)</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(5,511)</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(10,607)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(9,669)</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Settlement of stock appreciation rights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(16,529)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(16,529)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 - Employee taxes paid</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(21,857)</w:t>
            </w:r>
          </w:p>
        </w:tc>
        <w:tc>
          <w:tcPr>
            <w:tcW w:w="11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(257)</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(38,109)</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(1,534)</w:t>
            </w:r>
          </w:p>
        </w:tc>
        <w:tc>
          <w:tcPr>
            <w:tcW w:w="49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Other financing activities,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(2,802)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Net cash (used) provided by financing activities</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(1,191,650)</w:t>
            </w:r>
          </w:p>
        </w:tc>
        <w:tc>
          <w:tcPr>
            <w:tcW w:w="11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28,001 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(1,183,591)</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54,128 </w:t>
            </w:r>
          </w:p>
        </w:tc>
        <w:tc>
          <w:tcPr>
            <w:tcW w:w="49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Effect of exchange rate changes on cash and cash equivalents, including restricted cash</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706</w:t>
            </w:r>
            <w:r>
              <w:rPr>
                <w:color w:val="444446"/>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1,918 </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Net increase (decrease) in cash and cash equivalents, including restricted cash</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181,866</w:t>
            </w:r>
            <w:r>
              <w:rPr>
                <w:color w:val="444446"/>
              </w:rPr>
              <w:t> </w:t>
            </w:r>
          </w:p>
        </w:tc>
        <w:tc>
          <w:tcPr>
            <w:tcW w:w="11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9,106 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177,994</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23,377 </w:t>
            </w:r>
          </w:p>
        </w:tc>
        <w:tc>
          <w:tcPr>
            <w:tcW w:w="49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Cash and cash equivalents, including restricted cash and cash included in Current portion of assets held-for-sale, at beginning of period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121,476</w:t>
            </w:r>
            <w:r>
              <w:rPr>
                <w:color w:val="444446"/>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125,348</w:t>
            </w:r>
            <w:r>
              <w:rPr>
                <w:color w:val="44444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90,158 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Cash and cash equivalents, including restricted cash, at end of period</w:t>
            </w:r>
          </w:p>
        </w:tc>
        <w:tc>
          <w:tcPr>
            <w:tcW w:w="33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5"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303,342</w:t>
            </w:r>
            <w:r>
              <w:rPr>
                <w:color w:val="444446"/>
              </w:rPr>
              <w:t> </w:t>
            </w:r>
          </w:p>
        </w:tc>
        <w:tc>
          <w:tcPr>
            <w:tcW w:w="1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113,535 </w:t>
            </w:r>
          </w:p>
        </w:tc>
        <w:tc>
          <w:tcPr>
            <w:tcW w:w="10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77"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303,342</w:t>
            </w:r>
            <w:r>
              <w:rPr>
                <w:color w:val="444446"/>
              </w:rPr>
              <w:t> </w:t>
            </w:r>
          </w:p>
        </w:tc>
        <w:tc>
          <w:tcPr>
            <w:tcW w:w="10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113,535 </w:t>
            </w:r>
          </w:p>
        </w:tc>
        <w:tc>
          <w:tcPr>
            <w:tcW w:w="497"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77520"/>
                <wp:effectExtent l="0" t="0" r="0" b="0"/>
                <wp:wrapNone/>
                <wp:docPr id="40" name="Frame1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6"/>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7"/>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13</w:t>
                      </w:r>
                    </w:p>
                  </w:txbxContent>
                </v:textbox>
                <w10:wrap type="none"/>
              </v:rect>
            </w:pict>
          </mc:Fallback>
        </mc:AlternateContent>
      </w:r>
    </w:p>
    <w:tbl>
      <w:tblPr>
        <w:tblW w:w="9585"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226"/>
        <w:gridCol w:w="946"/>
        <w:gridCol w:w="109"/>
        <w:gridCol w:w="109"/>
        <w:gridCol w:w="109"/>
        <w:gridCol w:w="109"/>
        <w:gridCol w:w="235"/>
        <w:gridCol w:w="1077"/>
        <w:gridCol w:w="113"/>
        <w:gridCol w:w="109"/>
        <w:gridCol w:w="109"/>
        <w:gridCol w:w="109"/>
        <w:gridCol w:w="211"/>
        <w:gridCol w:w="826"/>
        <w:gridCol w:w="109"/>
        <w:gridCol w:w="109"/>
        <w:gridCol w:w="109"/>
        <w:gridCol w:w="109"/>
        <w:gridCol w:w="444"/>
        <w:gridCol w:w="1677"/>
        <w:gridCol w:w="324"/>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958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 xml:space="preserve">REVIEW OF OPERATIONS BY SEGMENT </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(Unaudited)</w:t>
            </w:r>
          </w:p>
          <w:p>
            <w:pPr>
              <w:pStyle w:val="TableContents"/>
              <w:bidi w:val="0"/>
              <w:spacing w:before="0" w:after="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Three Months Ended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 2025</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Operating</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Operating Income (Loss)</w:t>
            </w:r>
          </w:p>
        </w:tc>
      </w:tr>
      <w:tr>
        <w:trPr/>
        <w:tc>
          <w:tcPr>
            <w:tcW w:w="1980"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Harsco Environmental</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4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266,160</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7"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12,976</w:t>
            </w:r>
            <w:r>
              <w:rPr>
                <w:color w:val="444446"/>
              </w:rPr>
              <w:t> </w:t>
            </w:r>
          </w:p>
        </w:tc>
        <w:tc>
          <w:tcPr>
            <w:tcW w:w="113"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258,009 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677"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4,251 </w:t>
            </w:r>
          </w:p>
        </w:tc>
        <w:tc>
          <w:tcPr>
            <w:tcW w:w="3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Harsco 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(78,818)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(220,846)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(20,325)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Corporate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(36,553)</w:t>
            </w:r>
          </w:p>
        </w:tc>
        <w:tc>
          <w:tcPr>
            <w:tcW w:w="11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(15,509)</w:t>
            </w:r>
          </w:p>
        </w:tc>
        <w:tc>
          <w:tcPr>
            <w:tcW w:w="3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Consolidated 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187,342</w:t>
            </w:r>
            <w:r>
              <w:rPr>
                <w:color w:val="444446"/>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(244,423)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(31,583)</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Six Months Ended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 2025</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Operating</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Operating Income (Loss)</w:t>
            </w:r>
          </w:p>
        </w:tc>
      </w:tr>
      <w:tr>
        <w:trPr/>
        <w:tc>
          <w:tcPr>
            <w:tcW w:w="1980"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Harsco Environmental</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4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522,877</w:t>
            </w:r>
            <w:r>
              <w:rPr>
                <w:color w:val="444446"/>
              </w:rPr>
              <w:t>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7"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23,005</w:t>
            </w:r>
            <w:r>
              <w:rPr>
                <w:color w:val="444446"/>
              </w:rPr>
              <w:t> </w:t>
            </w:r>
          </w:p>
        </w:tc>
        <w:tc>
          <w:tcPr>
            <w:tcW w:w="113"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501,115 </w:t>
            </w:r>
          </w:p>
        </w:tc>
        <w:tc>
          <w:tcPr>
            <w:tcW w:w="10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677"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14,324 </w:t>
            </w:r>
          </w:p>
        </w:tc>
        <w:tc>
          <w:tcPr>
            <w:tcW w:w="3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5"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Harsco Rail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(224,043)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(13,187)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Corporate</w:t>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(49,270)</w:t>
            </w:r>
          </w:p>
        </w:tc>
        <w:tc>
          <w:tcPr>
            <w:tcW w:w="11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0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(27,672)</w:t>
            </w:r>
          </w:p>
        </w:tc>
        <w:tc>
          <w:tcPr>
            <w:tcW w:w="3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Consolidated 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511,390</w:t>
            </w:r>
            <w:r>
              <w:rPr>
                <w:color w:val="444446"/>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(250,308)</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629,025 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(26,535)</w:t>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77520"/>
                <wp:effectExtent l="0" t="0" r="0" b="0"/>
                <wp:wrapNone/>
                <wp:docPr id="43" name="Frame1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28"/>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29"/>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12"/>
        <w:gridCol w:w="686"/>
        <w:gridCol w:w="688"/>
        <w:gridCol w:w="135"/>
        <w:gridCol w:w="135"/>
        <w:gridCol w:w="135"/>
        <w:gridCol w:w="280"/>
        <w:gridCol w:w="1219"/>
        <w:gridCol w:w="135"/>
        <w:gridCol w:w="135"/>
        <w:gridCol w:w="135"/>
        <w:gridCol w:w="135"/>
        <w:gridCol w:w="261"/>
        <w:gridCol w:w="935"/>
        <w:gridCol w:w="135"/>
        <w:gridCol w:w="135"/>
        <w:gridCol w:w="135"/>
        <w:gridCol w:w="135"/>
        <w:gridCol w:w="280"/>
        <w:gridCol w:w="1219"/>
        <w:gridCol w:w="135"/>
        <w:gridCol w:w="135"/>
        <w:gridCol w:w="135"/>
        <w:gridCol w:w="135"/>
        <w:gridCol w:w="261"/>
        <w:gridCol w:w="935"/>
        <w:gridCol w:w="135"/>
        <w:gridCol w:w="109"/>
        <w:gridCol w:w="160"/>
      </w:tblGrid>
      <w:tr>
        <w:trPr/>
        <w:tc>
          <w:tcPr>
            <w:tcW w:w="101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RECONCILIATION OF ADJUSTED INCOME (LOSS) FROM CONTINUING OPERATIONS TO INCOME (LOSS) FROM CONTINUING OPERATIONS, NET OF TAX, AS REPORTED</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 xml:space="preserve">(Unaudited)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Three Months Ended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 thousands, except per share amounts)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86"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(loss) from continuing operations, net of tax, as reported</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(298,301)</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(45,726)</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(322,661)</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(52,300)</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Adjustments:</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Change in provision for forward losses and other contract-related costs on certain contracts</w:t>
            </w:r>
            <w:r>
              <w:rPr>
                <w:color w:val="444446"/>
              </w:rPr>
              <w:t xml:space="preserve"> </w:t>
            </w:r>
            <w:r>
              <w:rPr>
                <w:rFonts w:ascii="Open Sans;sans-serif" w:hAnsi="Open Sans;sans-serif"/>
                <w:b w:val="false"/>
                <w:color w:val="444446"/>
                <w:sz w:val="14"/>
              </w:rPr>
              <w:t xml:space="preserve">(a)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15,854 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 xml:space="preserve">Loss on contract exits </w:t>
            </w:r>
            <w:r>
              <w:rPr>
                <w:rFonts w:ascii="Open Sans;sans-serif" w:hAnsi="Open Sans;sans-serif"/>
                <w:b w:val="false"/>
                <w:color w:val="444446"/>
                <w:sz w:val="14"/>
              </w:rPr>
              <w:t>(a)</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 xml:space="preserve">Strategic costs </w:t>
            </w:r>
            <w:r>
              <w:rPr>
                <w:rFonts w:ascii="Open Sans;sans-serif" w:hAnsi="Open Sans;sans-serif"/>
                <w:b w:val="false"/>
                <w:color w:val="444446"/>
                <w:sz w:val="14"/>
              </w:rPr>
              <w:t>(b)(c)</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29,327</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30,773</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Open Sans;sans-serif" w:hAnsi="Open Sans;sans-serif"/>
                <w:b w:val="false"/>
                <w:color w:val="444446"/>
                <w:sz w:val="16"/>
              </w:rPr>
            </w:pPr>
            <w:r>
              <w:rPr>
                <w:rFonts w:ascii="Open Sans;sans-serif" w:hAnsi="Open Sans;sans-serif"/>
                <w:b w:val="false"/>
                <w:color w:val="444446"/>
                <w:sz w:val="16"/>
              </w:rPr>
              <w:t>Restructuring and related costs (d)</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9,911</w:t>
            </w: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10,559</w:t>
            </w: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3,333 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 xml:space="preserve">Contract termination charge </w:t>
            </w:r>
            <w:r>
              <w:rPr>
                <w:rFonts w:ascii="Open Sans;sans-serif" w:hAnsi="Open Sans;sans-serif"/>
                <w:b w:val="false"/>
                <w:color w:val="444446"/>
                <w:sz w:val="14"/>
              </w:rPr>
              <w:t>(b)</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 xml:space="preserve">Site exit costs </w:t>
            </w:r>
            <w:r>
              <w:rPr>
                <w:rFonts w:ascii="Open Sans;sans-serif" w:hAnsi="Open Sans;sans-serif"/>
                <w:b w:val="false"/>
                <w:color w:val="444446"/>
                <w:sz w:val="14"/>
              </w:rPr>
              <w:t>(c)</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135"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Open Sans;sans-serif" w:hAnsi="Open Sans;sans-serif"/>
                <w:b w:val="false"/>
                <w:color w:val="444446"/>
                <w:sz w:val="16"/>
              </w:rPr>
            </w:pPr>
            <w:r>
              <w:rPr>
                <w:rFonts w:ascii="Open Sans;sans-serif" w:hAnsi="Open Sans;sans-serif"/>
                <w:b w:val="false"/>
                <w:color w:val="444446"/>
                <w:sz w:val="16"/>
              </w:rPr>
              <w:t>Income tax impact from adjustments above (e)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33,256</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33,256</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(3,295)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Adjusted income (loss) from continuing operations, including acquisition amortization expense</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(18,417)</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(23,164)</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(40,683)</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(35,978)</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val="false"/>
                <w:color w:val="444446"/>
                <w:sz w:val="16"/>
              </w:rPr>
              <w:t xml:space="preserve">Acquisition amortization expense, net of tax </w:t>
            </w:r>
            <w:r>
              <w:rPr>
                <w:rFonts w:ascii="Open Sans;sans-serif" w:hAnsi="Open Sans;sans-serif"/>
                <w:b w:val="false"/>
                <w:color w:val="444446"/>
                <w:sz w:val="14"/>
              </w:rPr>
              <w:t>(f)</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804</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1,652</w:t>
            </w:r>
            <w:r>
              <w:rPr>
                <w:color w:val="44444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Adjusted income (loss) from continuing operations, net of tax</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(17,613)</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(22,534)</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(39,031)</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(34,789)</w:t>
            </w:r>
          </w:p>
        </w:tc>
        <w:tc>
          <w:tcPr>
            <w:tcW w:w="135"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Diluted weighted average shares of common stock outstanding</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27,877</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26,876</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27,655</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26,827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color w:val="444446"/>
                <w:sz w:val="16"/>
              </w:rPr>
              <w:t xml:space="preserve">Diluted earnings (loss) per share from continuing operations, as reported </w:t>
            </w:r>
            <w:r>
              <w:rPr>
                <w:rFonts w:ascii="Open Sans;sans-serif" w:hAnsi="Open Sans;sans-serif"/>
                <w:b w:val="false"/>
                <w:color w:val="444446"/>
                <w:sz w:val="14"/>
              </w:rPr>
              <w:t>(g)</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(10.70)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(11.67)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(1.95)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shd w:fill="CBDEAA"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Open Sans;sans-serif" w:hAnsi="Open Sans;sans-serif"/>
                <w:b/>
                <w:color w:val="444446"/>
                <w:sz w:val="16"/>
              </w:rPr>
              <w:t xml:space="preserve">Adjusted diluted earnings (loss) per share from continuing operations </w:t>
            </w:r>
            <w:r>
              <w:rPr>
                <w:rFonts w:ascii="Open Sans;sans-serif" w:hAnsi="Open Sans;sans-serif"/>
                <w:b w:val="false"/>
                <w:color w:val="444446"/>
                <w:sz w:val="14"/>
              </w:rPr>
              <w:t>(g)</w:t>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(0.63)</w:t>
            </w:r>
          </w:p>
        </w:tc>
        <w:tc>
          <w:tcPr>
            <w:tcW w:w="1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(0.84)</w:t>
            </w:r>
          </w:p>
        </w:tc>
        <w:tc>
          <w:tcPr>
            <w:tcW w:w="1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219"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(1.41)</w:t>
            </w:r>
          </w:p>
        </w:tc>
        <w:tc>
          <w:tcPr>
            <w:tcW w:w="1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(1.30)</w:t>
            </w:r>
          </w:p>
        </w:tc>
        <w:tc>
          <w:tcPr>
            <w:tcW w:w="135"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957"/>
        <w:gridCol w:w="2810"/>
        <w:gridCol w:w="39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Classified in Total revenues, which included a $136.5 million decrease for the three and six months ended June 30, 2026 and a $12.2 million increase for the six months ended June 30, 2025 related to adjustments for certain Harsco Rail contracts, as well as in Cost of products sold, which included a $70.9 million increase in expense for the three and six months ended June 30, 2026 and a $15.9 million and $17.6 million increase in expense for the three and six months ended June 30, 2025, respectively, related to adjustments for certain Harsco Rail contracts.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Classified in Selling, general and administrative expenses for costs incurred during the three and six months ended June 30,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(c)</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Classified in Other expense (income), net for costs incurred during the three and six months ended June 30,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(d)</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Classified in Other expense (income), net for costs incurred during the three and six months ended June 30, 2026 and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(e)</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Unusual items are tax-effected at the global effective tax rate before discrete items in effect during the year the unusual item is recorded.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(f)</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444446"/>
                <w:sz w:val="16"/>
              </w:rPr>
            </w:pPr>
            <w:r>
              <w:rPr>
                <w:rFonts w:ascii="Open Sans;sans-serif" w:hAnsi="Open Sans;sans-serif"/>
                <w:b w:val="false"/>
                <w:color w:val="444446"/>
                <w:sz w:val="16"/>
              </w:rPr>
              <w:t>Pre-tax acquisition amortization expense was $0.8 million and $1.7 million for the three and six months ended June 30, 2026, respectively, and $0.7 million and $1.3 million for the three and six months ended June 30,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(g)</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Amounts above are rounded and recalculation may not yield precise results.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77520"/>
                <wp:effectExtent l="0" t="0" r="0" b="0"/>
                <wp:wrapNone/>
                <wp:docPr id="46" name="Frame1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0"/>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1"/>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73"/>
        <w:gridCol w:w="572"/>
        <w:gridCol w:w="573"/>
        <w:gridCol w:w="124"/>
        <w:gridCol w:w="124"/>
        <w:gridCol w:w="124"/>
        <w:gridCol w:w="270"/>
        <w:gridCol w:w="1083"/>
        <w:gridCol w:w="310"/>
        <w:gridCol w:w="124"/>
        <w:gridCol w:w="124"/>
        <w:gridCol w:w="124"/>
        <w:gridCol w:w="124"/>
        <w:gridCol w:w="124"/>
        <w:gridCol w:w="258"/>
        <w:gridCol w:w="1119"/>
        <w:gridCol w:w="310"/>
        <w:gridCol w:w="124"/>
        <w:gridCol w:w="124"/>
        <w:gridCol w:w="124"/>
        <w:gridCol w:w="258"/>
        <w:gridCol w:w="982"/>
        <w:gridCol w:w="124"/>
        <w:gridCol w:w="109"/>
        <w:gridCol w:w="109"/>
        <w:gridCol w:w="109"/>
        <w:gridCol w:w="232"/>
        <w:gridCol w:w="999"/>
        <w:gridCol w:w="279"/>
        <w:gridCol w:w="172"/>
      </w:tblGrid>
      <w:tr>
        <w:trPr/>
        <w:tc>
          <w:tcPr>
            <w:tcW w:w="97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8196" w:type="dxa"/>
            <w:gridSpan w:val="2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pPr>
            <w:r>
              <w:rPr>
                <w:rFonts w:ascii="Open Sans;sans-serif" w:hAnsi="Open Sans;sans-serif"/>
                <w:b/>
                <w:color w:val="444446"/>
                <w:sz w:val="20"/>
              </w:rPr>
              <w:t xml:space="preserve">RECONCILIATION OF ADJUSTED EBITDA BY SEGMENT TO OPERATING INCOME (LOSS), AS REPORTED, BY SEGMENT </w:t>
            </w:r>
            <w:r>
              <w:rPr>
                <w:rFonts w:ascii="Open Sans;sans-serif" w:hAnsi="Open Sans;sans-serif"/>
                <w:b w:val="false"/>
                <w:color w:val="444446"/>
                <w:sz w:val="20"/>
              </w:rPr>
              <w:t>(Unaudited)</w:t>
            </w:r>
          </w:p>
          <w:p>
            <w:pPr>
              <w:pStyle w:val="TableContents"/>
              <w:bidi w:val="0"/>
              <w:spacing w:before="0" w:after="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4"/>
            <w:tcBorders/>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 xml:space="preserve">Harsco </w:t>
              <w:br/>
              <w:t>Environmental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 xml:space="preserve">Harsco </w:t>
              <w:br/>
              <w:t>Rail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Consolidated Totals</w:t>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53" w:type="dxa"/>
            <w:gridSpan w:val="9"/>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u w:val="single"/>
              </w:rPr>
            </w:pPr>
            <w:r>
              <w:rPr>
                <w:rFonts w:ascii="Open Sans;sans-serif" w:hAnsi="Open Sans;sans-serif"/>
                <w:b/>
                <w:color w:val="444446"/>
                <w:sz w:val="16"/>
                <w:u w:val="single"/>
              </w:rPr>
              <w:t>Three Months Ended June 30, 2026:</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as reported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12,976</w:t>
            </w: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(220,846)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(36,553)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(244,423)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2,265</w:t>
            </w: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27,062</w:t>
            </w:r>
            <w:r>
              <w:rPr>
                <w:color w:val="444446"/>
              </w:rPr>
              <w:t>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29,327</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2,485</w:t>
            </w: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7,426</w:t>
            </w: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9,911</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adjusted</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17,726</w:t>
            </w:r>
            <w:r>
              <w:rPr>
                <w:color w:val="444446"/>
              </w:rPr>
              <w:t> </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(6,030)</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(9,491)</w:t>
            </w:r>
          </w:p>
        </w:tc>
        <w:tc>
          <w:tcPr>
            <w:tcW w:w="1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2,205</w:t>
            </w:r>
            <w:r>
              <w:rPr>
                <w:color w:val="444446"/>
              </w:rPr>
              <w:t> </w:t>
            </w:r>
          </w:p>
        </w:tc>
        <w:tc>
          <w:tcPr>
            <w:tcW w:w="27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1,652</w:t>
            </w: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1,652</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27,438</w:t>
            </w: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1,185</w:t>
            </w: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231</w:t>
            </w:r>
            <w:r>
              <w:rPr>
                <w:color w:val="444446"/>
              </w:rPr>
              <w:t>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28,854</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568</w:t>
            </w: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245</w:t>
            </w: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813</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8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45,732</w:t>
            </w:r>
            <w:r>
              <w:rPr>
                <w:color w:val="444446"/>
              </w:rPr>
              <w:t> </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(4,600)</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8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(7,608)</w:t>
            </w:r>
          </w:p>
        </w:tc>
        <w:tc>
          <w:tcPr>
            <w:tcW w:w="1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9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33,524</w:t>
            </w:r>
            <w:r>
              <w:rPr>
                <w:color w:val="444446"/>
              </w:rPr>
              <w:t> </w:t>
            </w:r>
          </w:p>
        </w:tc>
        <w:tc>
          <w:tcPr>
            <w:tcW w:w="27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as reported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266,160</w:t>
            </w:r>
            <w:r>
              <w:rPr>
                <w:color w:val="444446"/>
              </w:rPr>
              <w:t>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(78,818)</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9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187,342</w:t>
            </w:r>
            <w:r>
              <w:rPr>
                <w:color w:val="444446"/>
              </w:rPr>
              <w:t> </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136,499</w:t>
            </w: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136,499</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adjusted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266,160</w:t>
            </w:r>
            <w:r>
              <w:rPr>
                <w:color w:val="444446"/>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57,681</w:t>
            </w:r>
            <w:r>
              <w:rPr>
                <w:color w:val="444446"/>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323,841</w:t>
            </w:r>
            <w:r>
              <w:rPr>
                <w:color w:val="444446"/>
              </w:rPr>
              <w:t>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 xml:space="preserve">Adjusted EBITDA margin (%) </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w:t>
            </w:r>
            <w:r>
              <w:rPr>
                <w:color w:val="444446"/>
              </w:rPr>
              <w:t> </w:t>
            </w:r>
          </w:p>
        </w:tc>
        <w:tc>
          <w:tcPr>
            <w:tcW w:w="310"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(8.0)</w:t>
            </w:r>
          </w:p>
        </w:tc>
        <w:tc>
          <w:tcPr>
            <w:tcW w:w="310"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10.4</w:t>
            </w:r>
            <w:r>
              <w:rPr>
                <w:color w:val="444446"/>
              </w:rPr>
              <w:t> </w:t>
            </w:r>
          </w:p>
        </w:tc>
        <w:tc>
          <w:tcPr>
            <w:tcW w:w="279"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53" w:type="dxa"/>
            <w:gridSpan w:val="9"/>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u w:val="single"/>
              </w:rPr>
            </w:pPr>
            <w:r>
              <w:rPr>
                <w:rFonts w:ascii="Open Sans;sans-serif" w:hAnsi="Open Sans;sans-serif"/>
                <w:b/>
                <w:color w:val="444446"/>
                <w:sz w:val="16"/>
                <w:u w:val="single"/>
              </w:rPr>
              <w:t>Three Months Ended June 30, 2025:</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as reported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4,251 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(20,325)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(15,509)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(31,583)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1,325 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1,325 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termination charge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Change in provision for forward losses and other contract-related costs on certain contracts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15,854 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15,854 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Site exit costs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excluding unusual items</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12,283 </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(4,471)</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(14,184)</w:t>
            </w:r>
          </w:p>
        </w:tc>
        <w:tc>
          <w:tcPr>
            <w:tcW w:w="1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(6,372)</w:t>
            </w:r>
          </w:p>
        </w:tc>
        <w:tc>
          <w:tcPr>
            <w:tcW w:w="27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27,046 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1,051 </w:t>
            </w:r>
          </w:p>
        </w:tc>
        <w:tc>
          <w:tcPr>
            <w:tcW w:w="31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255 </w:t>
            </w:r>
          </w:p>
        </w:tc>
        <w:tc>
          <w:tcPr>
            <w:tcW w:w="124"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28,352 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677 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8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39,900 </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(3,314)</w:t>
            </w:r>
          </w:p>
        </w:tc>
        <w:tc>
          <w:tcPr>
            <w:tcW w:w="31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8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(9,193)</w:t>
            </w:r>
          </w:p>
        </w:tc>
        <w:tc>
          <w:tcPr>
            <w:tcW w:w="124"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27,393 </w:t>
            </w:r>
          </w:p>
        </w:tc>
        <w:tc>
          <w:tcPr>
            <w:tcW w:w="27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as reported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258,009 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57,963 </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9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315,972 </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 xml:space="preserve">Adjusted EBITDA margin (%) </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15.5 </w:t>
            </w:r>
          </w:p>
        </w:tc>
        <w:tc>
          <w:tcPr>
            <w:tcW w:w="310"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w:t>
            </w:r>
          </w:p>
        </w:tc>
        <w:tc>
          <w:tcPr>
            <w:tcW w:w="310"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3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8.7 </w:t>
            </w:r>
          </w:p>
        </w:tc>
        <w:tc>
          <w:tcPr>
            <w:tcW w:w="279"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1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77520"/>
                <wp:effectExtent l="0" t="0" r="0" b="0"/>
                <wp:wrapNone/>
                <wp:docPr id="49" name="Frame1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2"/>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3"/>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9"/>
        <w:gridCol w:w="589"/>
        <w:gridCol w:w="591"/>
        <w:gridCol w:w="123"/>
        <w:gridCol w:w="123"/>
        <w:gridCol w:w="123"/>
        <w:gridCol w:w="268"/>
        <w:gridCol w:w="1073"/>
        <w:gridCol w:w="307"/>
        <w:gridCol w:w="123"/>
        <w:gridCol w:w="123"/>
        <w:gridCol w:w="123"/>
        <w:gridCol w:w="123"/>
        <w:gridCol w:w="123"/>
        <w:gridCol w:w="256"/>
        <w:gridCol w:w="1109"/>
        <w:gridCol w:w="307"/>
        <w:gridCol w:w="123"/>
        <w:gridCol w:w="123"/>
        <w:gridCol w:w="123"/>
        <w:gridCol w:w="256"/>
        <w:gridCol w:w="973"/>
        <w:gridCol w:w="123"/>
        <w:gridCol w:w="109"/>
        <w:gridCol w:w="109"/>
        <w:gridCol w:w="109"/>
        <w:gridCol w:w="233"/>
        <w:gridCol w:w="1002"/>
        <w:gridCol w:w="279"/>
        <w:gridCol w:w="170"/>
      </w:tblGrid>
      <w:tr>
        <w:trPr/>
        <w:tc>
          <w:tcPr>
            <w:tcW w:w="9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94" w:type="dxa"/>
            <w:gridSpan w:val="2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 xml:space="preserve">RECONCILIATION OF ADJUSTED EBITDA BY SEGMENT TO OPERATING INCOME (LOSS), AS REPORTED, BY SEGMENT </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(Unaudited)</w:t>
            </w:r>
          </w:p>
          <w:p>
            <w:pPr>
              <w:pStyle w:val="TableContents"/>
              <w:bidi w:val="0"/>
              <w:spacing w:before="0" w:after="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4"/>
            <w:tcBorders/>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Harsco Environmental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 xml:space="preserve">Harsco </w:t>
              <w:br/>
              <w:t>Rail</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Consolidated Totals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u w:val="single"/>
              </w:rPr>
            </w:pPr>
            <w:r>
              <w:rPr>
                <w:rFonts w:ascii="Open Sans;sans-serif" w:hAnsi="Open Sans;sans-serif"/>
                <w:b/>
                <w:color w:val="444446"/>
                <w:sz w:val="16"/>
                <w:u w:val="single"/>
              </w:rPr>
              <w:t>Six Months Ended June 30, 2026:</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as reported</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23,005</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(224,043)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(49,270)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(250,308)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2,265</w:t>
            </w: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28,508</w:t>
            </w: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30,773</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2,485</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8,074</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10,559</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adjusted</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27,755</w:t>
            </w:r>
            <w:r>
              <w:rPr>
                <w:color w:val="444446"/>
              </w:rPr>
              <w:t>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(8,579)</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(20,762)</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(1,586)</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4,174</w:t>
            </w: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4,174</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55,334</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2,381</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464</w:t>
            </w:r>
            <w:r>
              <w:rPr>
                <w:color w:val="44444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58,179</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1,140</w:t>
            </w: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530</w:t>
            </w: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1,670</w:t>
            </w:r>
            <w:r>
              <w:rPr>
                <w:color w:val="444446"/>
              </w:rPr>
              <w:t>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84,229</w:t>
            </w:r>
            <w:r>
              <w:rPr>
                <w:color w:val="444446"/>
              </w:rPr>
              <w:t>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(5,668)</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9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(16,124)</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62,437</w:t>
            </w:r>
            <w:r>
              <w:rPr>
                <w:color w:val="444446"/>
              </w:rPr>
              <w:t>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as reported</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3"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522,877</w:t>
            </w:r>
            <w:r>
              <w:rPr>
                <w:color w:val="444446"/>
              </w:rPr>
              <w:t> </w:t>
            </w:r>
          </w:p>
        </w:tc>
        <w:tc>
          <w:tcPr>
            <w:tcW w:w="307"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09"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(11,487)</w:t>
            </w:r>
          </w:p>
        </w:tc>
        <w:tc>
          <w:tcPr>
            <w:tcW w:w="307"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2"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511,390</w:t>
            </w:r>
            <w:r>
              <w:rPr>
                <w:color w:val="444446"/>
              </w:rPr>
              <w:t> </w:t>
            </w:r>
          </w:p>
        </w:tc>
        <w:tc>
          <w:tcPr>
            <w:tcW w:w="279"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136,499</w:t>
            </w: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136,499</w:t>
            </w:r>
            <w:r>
              <w:rPr>
                <w:color w:val="444446"/>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adjusted</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7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522,877</w:t>
            </w:r>
            <w:r>
              <w:rPr>
                <w:color w:val="444446"/>
              </w:rPr>
              <w:t> </w:t>
            </w:r>
          </w:p>
        </w:tc>
        <w:tc>
          <w:tcPr>
            <w:tcW w:w="30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0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125,012</w:t>
            </w:r>
            <w:r>
              <w:rPr>
                <w:color w:val="444446"/>
              </w:rPr>
              <w:t> </w:t>
            </w:r>
          </w:p>
        </w:tc>
        <w:tc>
          <w:tcPr>
            <w:tcW w:w="30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00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647,889</w:t>
            </w:r>
            <w:r>
              <w:rPr>
                <w:color w:val="444446"/>
              </w:rPr>
              <w:t> </w:t>
            </w:r>
          </w:p>
        </w:tc>
        <w:tc>
          <w:tcPr>
            <w:tcW w:w="27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 margin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16.1</w:t>
            </w:r>
            <w:r>
              <w:rPr>
                <w:color w:val="444446"/>
              </w:rPr>
              <w:t> </w:t>
            </w:r>
          </w:p>
        </w:tc>
        <w:tc>
          <w:tcPr>
            <w:tcW w:w="3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(4.5)</w:t>
            </w:r>
          </w:p>
        </w:tc>
        <w:tc>
          <w:tcPr>
            <w:tcW w:w="3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9.6</w:t>
            </w:r>
            <w:r>
              <w:rPr>
                <w:color w:val="444446"/>
              </w:rPr>
              <w:t> </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86" w:type="dxa"/>
            <w:gridSpan w:val="9"/>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u w:val="single"/>
              </w:rPr>
            </w:pPr>
            <w:r>
              <w:rPr>
                <w:rFonts w:ascii="Open Sans;sans-serif" w:hAnsi="Open Sans;sans-serif"/>
                <w:b/>
                <w:color w:val="444446"/>
                <w:sz w:val="16"/>
                <w:u w:val="single"/>
              </w:rPr>
              <w:t>Six Months Ended June 30, 2025:</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as reported</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14,324 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(13,187)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(27,672)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(26,535)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Change in provision for forward losses and other contract-related costs on certain contracts</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5,402 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5,402 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termination charge</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Site exit costs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3,333 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3,333 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adjusted</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25,689 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(7,785)</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(24,822)</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(6,918)</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7,971 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7,971 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52,555 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2,083 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55,174 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1,111 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173 </w:t>
            </w:r>
          </w:p>
        </w:tc>
        <w:tc>
          <w:tcPr>
            <w:tcW w:w="30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2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1,284 </w:t>
            </w:r>
          </w:p>
        </w:tc>
        <w:tc>
          <w:tcPr>
            <w:tcW w:w="27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79,355 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(5,529)</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(16,315)</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57,511 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Revenues, as reported</w:t>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73"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501,115 </w:t>
            </w:r>
          </w:p>
        </w:tc>
        <w:tc>
          <w:tcPr>
            <w:tcW w:w="307"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109"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127,910 </w:t>
            </w:r>
          </w:p>
        </w:tc>
        <w:tc>
          <w:tcPr>
            <w:tcW w:w="307"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BDEA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1002" w:type="dxa"/>
            <w:tcBorders>
              <w:top w:val="doub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629,025 </w:t>
            </w:r>
          </w:p>
        </w:tc>
        <w:tc>
          <w:tcPr>
            <w:tcW w:w="279" w:type="dxa"/>
            <w:tcBorders>
              <w:top w:val="doub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 xml:space="preserve">Adjusted EBITDA margin (%) </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15.8 </w:t>
            </w:r>
          </w:p>
        </w:tc>
        <w:tc>
          <w:tcPr>
            <w:tcW w:w="30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6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(4.3)</w:t>
            </w:r>
          </w:p>
        </w:tc>
        <w:tc>
          <w:tcPr>
            <w:tcW w:w="30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9.1 </w:t>
            </w:r>
          </w:p>
        </w:tc>
        <w:tc>
          <w:tcPr>
            <w:tcW w:w="27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w:t>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77520"/>
                <wp:effectExtent l="0" t="0" r="0" b="0"/>
                <wp:wrapNone/>
                <wp:docPr id="52" name="Frame2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4"/>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5"/>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27"/>
        <w:gridCol w:w="826"/>
        <w:gridCol w:w="826"/>
        <w:gridCol w:w="347"/>
        <w:gridCol w:w="347"/>
        <w:gridCol w:w="347"/>
        <w:gridCol w:w="719"/>
        <w:gridCol w:w="3269"/>
        <w:gridCol w:w="347"/>
        <w:gridCol w:w="109"/>
        <w:gridCol w:w="109"/>
        <w:gridCol w:w="109"/>
        <w:gridCol w:w="211"/>
        <w:gridCol w:w="754"/>
        <w:gridCol w:w="158"/>
      </w:tblGrid>
      <w:tr>
        <w:trPr/>
        <w:tc>
          <w:tcPr>
            <w:tcW w:w="17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75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pPr>
            <w:r>
              <w:rPr>
                <w:rFonts w:ascii="Open Sans;sans-serif" w:hAnsi="Open Sans;sans-serif"/>
                <w:b/>
                <w:color w:val="444446"/>
                <w:sz w:val="20"/>
              </w:rPr>
              <w:t xml:space="preserve">RECONCILIATION OF CONSOLIDATED ADJUSTED EBITDA TO CONSOLIDATED INCOME (LOSS) FROM CONTINUING OPERATIONS AS REPORTED </w:t>
            </w:r>
            <w:r>
              <w:rPr>
                <w:rFonts w:ascii="Open Sans;sans-serif" w:hAnsi="Open Sans;sans-serif"/>
                <w:b w:val="false"/>
                <w:color w:val="444446"/>
                <w:sz w:val="20"/>
              </w:rPr>
              <w:t>(Unaudited)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Three Months Ended June 30</w:t>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r>
      <w:tr>
        <w:trPr/>
        <w:tc>
          <w:tcPr>
            <w:tcW w:w="3379"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Consolidated income (loss) from continuing operations</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326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(296,816)</w:t>
            </w:r>
          </w:p>
        </w:tc>
        <w:tc>
          <w:tcPr>
            <w:tcW w:w="347"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75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(44,668)</w:t>
            </w:r>
          </w:p>
        </w:tc>
        <w:tc>
          <w:tcPr>
            <w:tcW w:w="158"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Add back (deduct):</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Equity in (income) loss of unconsolidated entities,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tax expense (benefit) from continuing operations</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40,548</w:t>
            </w: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(905)</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Defined benefit pension expense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3,918</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Facility fees and debt-related expense (income)</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318</w:t>
            </w: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154 </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8,239</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8,739 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income</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(580)</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(414)</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28,854</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813</w:t>
            </w: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677 </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1,652</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4,736 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Unusual items: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Change in provision for forward losses and other contract-related costs on certain contracts</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15,854 </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29,327</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9,911</w:t>
            </w: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termination charge</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47"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158"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Site exit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Consolidated Adjusted EBITDA</w:t>
            </w:r>
          </w:p>
        </w:tc>
        <w:tc>
          <w:tcPr>
            <w:tcW w:w="1041"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326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33,524</w:t>
            </w:r>
            <w:r>
              <w:rPr>
                <w:color w:val="444446"/>
              </w:rPr>
              <w:t> </w:t>
            </w:r>
          </w:p>
        </w:tc>
        <w:tc>
          <w:tcPr>
            <w:tcW w:w="347"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754"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27,393 </w:t>
            </w:r>
          </w:p>
        </w:tc>
        <w:tc>
          <w:tcPr>
            <w:tcW w:w="158"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7520"/>
                <wp:effectExtent l="0" t="0" r="0" b="0"/>
                <wp:wrapNone/>
                <wp:docPr id="55" name="Frame2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6"/>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7"/>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5"/>
        <w:gridCol w:w="922"/>
        <w:gridCol w:w="823"/>
        <w:gridCol w:w="353"/>
        <w:gridCol w:w="353"/>
        <w:gridCol w:w="353"/>
        <w:gridCol w:w="733"/>
        <w:gridCol w:w="3334"/>
        <w:gridCol w:w="353"/>
        <w:gridCol w:w="109"/>
        <w:gridCol w:w="109"/>
        <w:gridCol w:w="109"/>
        <w:gridCol w:w="211"/>
        <w:gridCol w:w="759"/>
        <w:gridCol w:w="159"/>
      </w:tblGrid>
      <w:tr>
        <w:trPr/>
        <w:tc>
          <w:tcPr>
            <w:tcW w:w="152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74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RECONCILIATION OF ADJUSTED EBITDA TO CONSOLIDATED INCOME (LOSS) FROM CONTINUING OPERATIONS AS REPORTED</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(Unaudited)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444446"/>
                <w:sz w:val="18"/>
              </w:rPr>
            </w:pPr>
            <w:r>
              <w:rPr>
                <w:rFonts w:ascii="Open Sans;sans-serif" w:hAnsi="Open Sans;sans-serif"/>
                <w:b/>
                <w:color w:val="444446"/>
                <w:sz w:val="18"/>
              </w:rPr>
              <w:t>Six Months Ended</w:t>
            </w:r>
          </w:p>
          <w:p>
            <w:pPr>
              <w:pStyle w:val="TableContents"/>
              <w:bidi w:val="0"/>
              <w:spacing w:lineRule="auto" w:line="240" w:before="0" w:after="0"/>
              <w:jc w:val="center"/>
              <w:rPr>
                <w:rFonts w:ascii="Open Sans;sans-serif" w:hAnsi="Open Sans;sans-serif"/>
                <w:b/>
                <w:color w:val="444446"/>
                <w:sz w:val="18"/>
              </w:rPr>
            </w:pPr>
            <w:r>
              <w:rPr>
                <w:rFonts w:ascii="Open Sans;sans-serif" w:hAnsi="Open Sans;sans-serif"/>
                <w:b/>
                <w:color w:val="444446"/>
                <w:sz w:val="18"/>
              </w:rPr>
              <w:t>June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r>
      <w:tr>
        <w:trPr/>
        <w:tc>
          <w:tcPr>
            <w:tcW w:w="3270"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Consolidated income (loss) from continuing operations</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333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(320,049)</w:t>
            </w:r>
          </w:p>
        </w:tc>
        <w:tc>
          <w:tcPr>
            <w:tcW w:w="353"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759"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(50,041)</w:t>
            </w:r>
          </w:p>
        </w:tc>
        <w:tc>
          <w:tcPr>
            <w:tcW w:w="159"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Add back (deduct):</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Equity in (income) loss of unconsolidated entities, net</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(73)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Income tax expense (benefit) from continuing operations</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45,694</w:t>
            </w: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(4,325)</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Defined benefit pension expense</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7,854</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10,756 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Facility fee and debt-related expense</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538</w:t>
            </w: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570 </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expense</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16,766</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17,445 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Interest income</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(1,038)</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(868)</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58,179</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55,174 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1,670</w:t>
            </w: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1,284 </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Stock-based compensation</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4,174</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Unusual items: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Change in provision for forward losses and other contract-related costs</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5,402 </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30,773</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10,559</w:t>
            </w: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3,333 </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207,390</w:t>
            </w: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termination charge</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53"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(2,249)</w:t>
            </w:r>
          </w:p>
        </w:tc>
        <w:tc>
          <w:tcPr>
            <w:tcW w:w="159"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Site exit costs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10,281 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Adjusted EBITDA</w:t>
            </w:r>
          </w:p>
        </w:tc>
        <w:tc>
          <w:tcPr>
            <w:tcW w:w="1059"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3334"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62,437</w:t>
            </w:r>
            <w:r>
              <w:rPr>
                <w:color w:val="444446"/>
              </w:rPr>
              <w:t> </w:t>
            </w:r>
          </w:p>
        </w:tc>
        <w:tc>
          <w:tcPr>
            <w:tcW w:w="353"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75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57,511 </w:t>
            </w:r>
          </w:p>
        </w:tc>
        <w:tc>
          <w:tcPr>
            <w:tcW w:w="159"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7520"/>
                <wp:effectExtent l="0" t="0" r="0" b="0"/>
                <wp:wrapNone/>
                <wp:docPr id="58" name="Frame2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38"/>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39"/>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89"/>
        <w:gridCol w:w="678"/>
        <w:gridCol w:w="577"/>
        <w:gridCol w:w="258"/>
        <w:gridCol w:w="258"/>
        <w:gridCol w:w="258"/>
        <w:gridCol w:w="710"/>
        <w:gridCol w:w="1675"/>
        <w:gridCol w:w="642"/>
        <w:gridCol w:w="258"/>
        <w:gridCol w:w="258"/>
        <w:gridCol w:w="258"/>
        <w:gridCol w:w="536"/>
        <w:gridCol w:w="1410"/>
        <w:gridCol w:w="642"/>
        <w:gridCol w:w="109"/>
        <w:gridCol w:w="109"/>
        <w:gridCol w:w="109"/>
        <w:gridCol w:w="109"/>
        <w:gridCol w:w="162"/>
      </w:tblGrid>
      <w:tr>
        <w:trPr/>
        <w:tc>
          <w:tcPr>
            <w:tcW w:w="118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607"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pPr>
            <w:r>
              <w:rPr>
                <w:rFonts w:ascii="Open Sans;sans-serif" w:hAnsi="Open Sans;sans-serif"/>
                <w:b/>
                <w:color w:val="444446"/>
                <w:sz w:val="20"/>
              </w:rPr>
              <w:t>RECONCILIATION OF PROJECTED ADJUSTED EBITDA BY SEGMENT USING MID-RANGE POINTS FOR EACH TO PROJECTED OPERATING INCOME (LOSS) BY SEGMENT</w:t>
            </w:r>
            <w:r>
              <w:rPr>
                <w:color w:val="444446"/>
              </w:rPr>
              <w:t xml:space="preserve"> </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(Unaudited)</w:t>
            </w:r>
          </w:p>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(Amounts in millions)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Harsco Environmental</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 xml:space="preserve">Harsco </w:t>
              <w:br/>
              <w:t>Rail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u w:val="single"/>
              </w:rPr>
            </w:pPr>
            <w:r>
              <w:rPr>
                <w:rFonts w:ascii="Open Sans;sans-serif" w:hAnsi="Open Sans;sans-serif"/>
                <w:b/>
                <w:color w:val="444446"/>
                <w:sz w:val="16"/>
                <w:u w:val="single"/>
              </w:rPr>
              <w:t>Projected Twelve Months Ending December 31, 2026</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Projected operating income (loss)</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54</w:t>
            </w:r>
            <w:r>
              <w:rPr>
                <w:color w:val="444446"/>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(244)</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Strategic costs</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w:t>
            </w: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Restructuring and related costs</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w:t>
            </w:r>
            <w:r>
              <w:rPr>
                <w:color w:val="444446"/>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w:t>
            </w:r>
            <w:r>
              <w:rPr>
                <w:color w:val="444446"/>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Contract exits</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207</w:t>
            </w: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Operating income (loss), adjusted</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59</w:t>
            </w:r>
            <w:r>
              <w:rPr>
                <w:color w:val="444446"/>
              </w:rPr>
              <w:t> </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(28)</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Depreciation</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114</w:t>
            </w: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w:t>
            </w:r>
            <w:r>
              <w:rPr>
                <w:color w:val="444446"/>
              </w:rPr>
              <w:t> </w:t>
            </w:r>
          </w:p>
        </w:tc>
        <w:tc>
          <w:tcPr>
            <w:tcW w:w="642"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Amortization</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w:t>
            </w:r>
            <w:r>
              <w:rPr>
                <w:color w:val="444446"/>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w:t>
            </w:r>
            <w:r>
              <w:rPr>
                <w:color w:val="444446"/>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Projected adjusted EBITDA</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67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175</w:t>
            </w:r>
            <w:r>
              <w:rPr>
                <w:color w:val="444446"/>
              </w:rPr>
              <w:t> </w:t>
            </w:r>
          </w:p>
        </w:tc>
        <w:tc>
          <w:tcPr>
            <w:tcW w:w="642"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410"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(23)</w:t>
            </w:r>
          </w:p>
        </w:tc>
        <w:tc>
          <w:tcPr>
            <w:tcW w:w="642"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revenues</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6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1,018</w:t>
            </w:r>
            <w:r>
              <w:rPr>
                <w:color w:val="444446"/>
              </w:rPr>
              <w:t> </w:t>
            </w:r>
          </w:p>
        </w:tc>
        <w:tc>
          <w:tcPr>
            <w:tcW w:w="6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4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227</w:t>
            </w:r>
            <w:r>
              <w:rPr>
                <w:color w:val="444446"/>
              </w:rPr>
              <w:t> </w:t>
            </w:r>
          </w:p>
        </w:tc>
        <w:tc>
          <w:tcPr>
            <w:tcW w:w="6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EBITDA margin (%)</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2"/>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17.2</w:t>
            </w:r>
            <w:r>
              <w:rPr>
                <w:color w:val="444446"/>
              </w:rPr>
              <w:t> </w:t>
            </w:r>
          </w:p>
        </w:tc>
        <w:tc>
          <w:tcPr>
            <w:tcW w:w="642"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774"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(9.9)</w:t>
            </w:r>
          </w:p>
        </w:tc>
        <w:tc>
          <w:tcPr>
            <w:tcW w:w="642" w:type="dxa"/>
            <w:tcBorders>
              <w:top w:val="doub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7520"/>
                <wp:effectExtent l="0" t="0" r="0" b="0"/>
                <wp:wrapNone/>
                <wp:docPr id="61" name="Frame2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0"/>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1"/>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01"/>
        <w:gridCol w:w="735"/>
        <w:gridCol w:w="736"/>
        <w:gridCol w:w="131"/>
        <w:gridCol w:w="131"/>
        <w:gridCol w:w="131"/>
        <w:gridCol w:w="272"/>
        <w:gridCol w:w="1193"/>
        <w:gridCol w:w="131"/>
        <w:gridCol w:w="131"/>
        <w:gridCol w:w="131"/>
        <w:gridCol w:w="131"/>
        <w:gridCol w:w="254"/>
        <w:gridCol w:w="915"/>
        <w:gridCol w:w="131"/>
        <w:gridCol w:w="131"/>
        <w:gridCol w:w="131"/>
        <w:gridCol w:w="131"/>
        <w:gridCol w:w="272"/>
        <w:gridCol w:w="1193"/>
        <w:gridCol w:w="131"/>
        <w:gridCol w:w="131"/>
        <w:gridCol w:w="131"/>
        <w:gridCol w:w="131"/>
        <w:gridCol w:w="254"/>
        <w:gridCol w:w="915"/>
        <w:gridCol w:w="200"/>
      </w:tblGrid>
      <w:tr>
        <w:trPr/>
        <w:tc>
          <w:tcPr>
            <w:tcW w:w="130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ENVIRI CORPORATION</w:t>
            </w:r>
          </w:p>
          <w:p>
            <w:pPr>
              <w:pStyle w:val="TableContents"/>
              <w:bidi w:val="0"/>
              <w:spacing w:lineRule="auto" w:line="240" w:before="0" w:after="0"/>
              <w:jc w:val="left"/>
              <w:rPr>
                <w:rFonts w:ascii="Open Sans;sans-serif" w:hAnsi="Open Sans;sans-serif"/>
                <w:b/>
                <w:color w:val="444446"/>
                <w:sz w:val="20"/>
              </w:rPr>
            </w:pPr>
            <w:r>
              <w:rPr>
                <w:rFonts w:ascii="Open Sans;sans-serif" w:hAnsi="Open Sans;sans-serif"/>
                <w:b/>
                <w:color w:val="444446"/>
                <w:sz w:val="20"/>
              </w:rPr>
              <w:t xml:space="preserve">RECONCILIATION OF ADJUSTED FREE CASH FLOW TO NET CASH PROVIDED (USED) BY OPERATING ACTIVITIES </w:t>
            </w:r>
          </w:p>
          <w:p>
            <w:pPr>
              <w:pStyle w:val="TableContents"/>
              <w:bidi w:val="0"/>
              <w:spacing w:lineRule="auto" w:line="240" w:before="0" w:after="0"/>
              <w:jc w:val="left"/>
              <w:rPr>
                <w:rFonts w:ascii="Open Sans;sans-serif" w:hAnsi="Open Sans;sans-serif"/>
                <w:b w:val="false"/>
                <w:color w:val="444446"/>
                <w:sz w:val="20"/>
              </w:rPr>
            </w:pPr>
            <w:r>
              <w:rPr>
                <w:rFonts w:ascii="Open Sans;sans-serif" w:hAnsi="Open Sans;sans-serif"/>
                <w:b w:val="false"/>
                <w:color w:val="444446"/>
                <w:sz w:val="20"/>
              </w:rPr>
              <w:t>(Unaudited)</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Three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Six Months Ended</w:t>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June 30</w:t>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(In thousands)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444446"/>
                <w:sz w:val="16"/>
              </w:rPr>
            </w:pPr>
            <w:r>
              <w:rPr>
                <w:rFonts w:ascii="Open Sans;sans-serif" w:hAnsi="Open Sans;sans-serif"/>
                <w:b/>
                <w:color w:val="444446"/>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70"/>
              <w:jc w:val="center"/>
              <w:rPr>
                <w:rFonts w:ascii="Open Sans;sans-serif" w:hAnsi="Open Sans;sans-serif"/>
                <w:b/>
                <w:color w:val="444446"/>
                <w:sz w:val="16"/>
              </w:rPr>
            </w:pPr>
            <w:r>
              <w:rPr>
                <w:rFonts w:ascii="Open Sans;sans-serif" w:hAnsi="Open Sans;sans-serif"/>
                <w:b/>
                <w:color w:val="444446"/>
                <w:sz w:val="16"/>
              </w:rPr>
              <w:t>2025</w:t>
            </w:r>
          </w:p>
        </w:tc>
      </w:tr>
      <w:tr>
        <w:trPr/>
        <w:tc>
          <w:tcPr>
            <w:tcW w:w="2772" w:type="dxa"/>
            <w:gridSpan w:val="3"/>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Net cash provided (used) by operating activities</w:t>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9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(296,938)</w:t>
            </w:r>
          </w:p>
        </w:tc>
        <w:tc>
          <w:tcPr>
            <w:tcW w:w="13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1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21,973 </w:t>
            </w:r>
          </w:p>
        </w:tc>
        <w:tc>
          <w:tcPr>
            <w:tcW w:w="13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93"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(275,402)</w:t>
            </w:r>
          </w:p>
        </w:tc>
        <w:tc>
          <w:tcPr>
            <w:tcW w:w="131"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15" w:type="dxa"/>
            <w:tcBorders>
              <w:top w:val="single" w:sz="8" w:space="0" w:color="000000"/>
            </w:tcBorders>
            <w:shd w:fill="CBDEAA"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28,573 </w:t>
            </w:r>
          </w:p>
        </w:tc>
        <w:tc>
          <w:tcPr>
            <w:tcW w:w="200" w:type="dxa"/>
            <w:tcBorders>
              <w:top w:val="single" w:sz="8" w:space="0" w:color="000000"/>
            </w:tcBorders>
            <w:shd w:fill="CBDEAA"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Less capital expenditures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(34,660)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(39,035)</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(68,387)</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(60,659)</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Less expenditures for intangible assets</w:t>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(23)</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(44)</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(208)</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(51)</w:t>
            </w:r>
          </w:p>
        </w:tc>
        <w:tc>
          <w:tcPr>
            <w:tcW w:w="20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Plus capital expenditures for strategic ventures (a)</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193</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340</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1,135 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Plus total proceeds from sales of assets (b)</w:t>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5,069</w:t>
            </w:r>
            <w:r>
              <w:rPr>
                <w:color w:val="444446"/>
              </w:rPr>
              <w:t>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2,317 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7,019</w:t>
            </w:r>
            <w:r>
              <w:rPr>
                <w:color w:val="444446"/>
              </w:rPr>
              <w:t>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3,764 </w:t>
            </w:r>
          </w:p>
        </w:tc>
        <w:tc>
          <w:tcPr>
            <w:tcW w:w="20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Plus transaction-related expenditures (c)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131,943</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136,268</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Plus repayment of revolving trade receivables securitization facility (d)</w:t>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160,000</w:t>
            </w:r>
            <w:r>
              <w:rPr>
                <w:color w:val="444446"/>
              </w:rPr>
              <w:t>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160,000</w:t>
            </w:r>
            <w:r>
              <w:rPr>
                <w:color w:val="444446"/>
              </w:rPr>
              <w:t> </w:t>
            </w:r>
          </w:p>
        </w:tc>
        <w:tc>
          <w:tcPr>
            <w:tcW w:w="131"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BDEAA" w:val="clear"/>
            <w:tcMar>
              <w:top w:w="0" w:type="dxa"/>
              <w:left w:w="0" w:type="dxa"/>
              <w:bottom w:w="0" w:type="dxa"/>
              <w:right w:w="0" w:type="dxa"/>
            </w:tcMar>
            <w:vAlign w:val="center"/>
          </w:tcPr>
          <w:p>
            <w:pPr>
              <w:pStyle w:val="TableContents"/>
              <w:bidi w:val="0"/>
              <w:spacing w:lineRule="auto" w:line="240" w:before="0" w:after="283"/>
              <w:jc w:val="right"/>
              <w:rPr>
                <w:color w:val="444446"/>
              </w:rPr>
            </w:pPr>
            <w:r>
              <w:rPr>
                <w:color w:val="444446"/>
              </w:rPr>
              <w:t>— </w:t>
            </w:r>
          </w:p>
        </w:tc>
        <w:tc>
          <w:tcPr>
            <w:tcW w:w="200" w:type="dxa"/>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Clean Earth free cash flow deficit (benefit)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25,547</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(25,226)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Open Sans;sans-serif" w:hAnsi="Open Sans;sans-serif"/>
                <w:b/>
                <w:color w:val="444446"/>
                <w:sz w:val="16"/>
              </w:rPr>
              <w:t>8,089</w:t>
            </w:r>
            <w:r>
              <w:rPr>
                <w:color w:val="444446"/>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(45,069)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BDEAA"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Adjusted free cash flow</w:t>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93"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(8,869)</w:t>
            </w:r>
          </w:p>
        </w:tc>
        <w:tc>
          <w:tcPr>
            <w:tcW w:w="13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15"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(39,229)</w:t>
            </w:r>
          </w:p>
        </w:tc>
        <w:tc>
          <w:tcPr>
            <w:tcW w:w="13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444446"/>
                <w:sz w:val="16"/>
              </w:rPr>
            </w:pPr>
            <w:r>
              <w:rPr>
                <w:rFonts w:ascii="Open Sans;sans-serif" w:hAnsi="Open Sans;sans-serif"/>
                <w:b/>
                <w:color w:val="444446"/>
                <w:sz w:val="16"/>
              </w:rPr>
              <w:t>$</w:t>
            </w:r>
          </w:p>
        </w:tc>
        <w:tc>
          <w:tcPr>
            <w:tcW w:w="1193"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444446"/>
                <w:sz w:val="16"/>
              </w:rPr>
            </w:pPr>
            <w:r>
              <w:rPr>
                <w:rFonts w:ascii="Open Sans;sans-serif" w:hAnsi="Open Sans;sans-serif"/>
                <w:b/>
                <w:color w:val="444446"/>
                <w:sz w:val="16"/>
              </w:rPr>
              <w:t>(32,281)</w:t>
            </w:r>
          </w:p>
        </w:tc>
        <w:tc>
          <w:tcPr>
            <w:tcW w:w="131"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BDEA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444446"/>
                <w:sz w:val="16"/>
              </w:rPr>
            </w:pPr>
            <w:r>
              <w:rPr>
                <w:rFonts w:ascii="Open Sans;sans-serif" w:hAnsi="Open Sans;sans-serif"/>
                <w:b w:val="false"/>
                <w:color w:val="444446"/>
                <w:sz w:val="16"/>
              </w:rPr>
              <w:t>$</w:t>
            </w:r>
          </w:p>
        </w:tc>
        <w:tc>
          <w:tcPr>
            <w:tcW w:w="915"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444446"/>
                <w:sz w:val="16"/>
              </w:rPr>
            </w:pPr>
            <w:r>
              <w:rPr>
                <w:rFonts w:ascii="Open Sans;sans-serif" w:hAnsi="Open Sans;sans-serif"/>
                <w:b w:val="false"/>
                <w:color w:val="444446"/>
                <w:sz w:val="16"/>
              </w:rPr>
              <w:t>(72,307)</w:t>
            </w:r>
          </w:p>
        </w:tc>
        <w:tc>
          <w:tcPr>
            <w:tcW w:w="200" w:type="dxa"/>
            <w:tcBorders>
              <w:top w:val="single" w:sz="8" w:space="0" w:color="000000"/>
              <w:bottom w:val="double" w:sz="8" w:space="0" w:color="000000"/>
            </w:tcBorders>
            <w:shd w:fill="CBDEAA"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98"/>
        <w:gridCol w:w="2835"/>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(a)</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444446"/>
                <w:sz w:val="16"/>
              </w:rPr>
            </w:pPr>
            <w:r>
              <w:rPr>
                <w:rFonts w:ascii="Open Sans;sans-serif" w:hAnsi="Open Sans;sans-serif"/>
                <w:b w:val="false"/>
                <w:color w:val="444446"/>
                <w:sz w:val="16"/>
              </w:rPr>
              <w:t xml:space="preserve">Capital expenditures for strategic ventures represent the partner’s share of capital expenditures in certain ventures consolidated in the Company’s consolidated financial statements.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444446"/>
                <w:sz w:val="16"/>
              </w:rPr>
            </w:pPr>
            <w:r>
              <w:rPr>
                <w:rFonts w:ascii="Open Sans;sans-serif" w:hAnsi="Open Sans;sans-serif"/>
                <w:b w:val="false"/>
                <w:color w:val="444446"/>
                <w:sz w:val="16"/>
              </w:rPr>
              <w:t>Asset sales are a normal part of the business model, primarily for the Harsco Environmental segment.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(c)</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444446"/>
                <w:sz w:val="16"/>
              </w:rPr>
            </w:pPr>
            <w:r>
              <w:rPr>
                <w:rFonts w:ascii="Open Sans;sans-serif" w:hAnsi="Open Sans;sans-serif"/>
                <w:b w:val="false"/>
                <w:color w:val="444446"/>
                <w:sz w:val="16"/>
              </w:rPr>
              <w:t>Includes expenditures directly related to the Company's divestiture transactions and other strategic costs incurred at Corporate, including payments made to certain employees as part of the Company's long-term incentive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444446"/>
                <w:sz w:val="16"/>
              </w:rPr>
            </w:pPr>
            <w:r>
              <w:rPr>
                <w:rFonts w:ascii="Open Sans;sans-serif" w:hAnsi="Open Sans;sans-serif"/>
                <w:b w:val="false"/>
                <w:color w:val="444446"/>
                <w:sz w:val="16"/>
              </w:rPr>
              <w:t>(d)</w:t>
            </w:r>
          </w:p>
        </w:tc>
        <w:tc>
          <w:tcPr>
            <w:tcW w:w="109" w:type="dxa"/>
            <w:tcBorders/>
            <w:vAlign w:val="center"/>
          </w:tcPr>
          <w:p>
            <w:pPr>
              <w:pStyle w:val="TableContents"/>
              <w:bidi w:val="0"/>
              <w:spacing w:before="0" w:after="283"/>
              <w:jc w:val="left"/>
              <w:rPr>
                <w:sz w:val="4"/>
                <w:szCs w:val="4"/>
              </w:rPr>
            </w:pPr>
            <w:r>
              <w:rPr>
                <w:sz w:val="4"/>
                <w:szCs w:val="4"/>
              </w:rPr>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444446"/>
                <w:sz w:val="16"/>
              </w:rPr>
            </w:pPr>
            <w:r>
              <w:rPr>
                <w:rFonts w:ascii="Open Sans;sans-serif" w:hAnsi="Open Sans;sans-serif"/>
                <w:b w:val="false"/>
                <w:color w:val="444446"/>
                <w:sz w:val="16"/>
              </w:rPr>
              <w:t>Includes the repurchase of accounts receivable related to the Company's revolving trade receivables securitization facility that was required to be terminated with the sale of Clean Earth.</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7520"/>
                <wp:effectExtent l="0" t="0" r="0" b="0"/>
                <wp:wrapNone/>
                <wp:docPr id="64" name="Frame2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876300" cy="3810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2"/>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876300" cy="381000"/>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43"/>
                                    <a:stretch>
                                      <a:fillRect/>
                                    </a:stretch>
                                  </pic:blipFill>
                                  <pic:spPr bwMode="auto">
                                    <a:xfrm>
                                      <a:off x="0" y="0"/>
                                      <a:ext cx="876300" cy="381000"/>
                                    </a:xfrm>
                                    <a:prstGeom prst="rect">
                                      <a:avLst/>
                                    </a:prstGeom>
                                  </pic:spPr>
                                </pic:pic>
                              </a:graphicData>
                            </a:graphic>
                          </wp:inline>
                        </w:drawing>
                      </w:r>
                      <w:r>
                        <w:rPr>
                          <w:color w:val="000000"/>
                        </w:rPr>
                        <w:t>                                                </w:t>
                      </w:r>
                      <w:r>
                        <w:rPr>
                          <w:rFonts w:ascii="Open Sans;sans-serif" w:hAnsi="Open Sans;sans-serif"/>
                          <w:b w:val="false"/>
                          <w:color w:val="444446"/>
                          <w:sz w:val="20"/>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3.png"/><Relationship Id="rId17" Type="http://schemas.openxmlformats.org/officeDocument/2006/relationships/image" Target="media/image3.pn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image" Target="media/image3.png"/><Relationship Id="rId24" Type="http://schemas.openxmlformats.org/officeDocument/2006/relationships/image" Target="media/image3.png"/><Relationship Id="rId25" Type="http://schemas.openxmlformats.org/officeDocument/2006/relationships/image" Target="media/image3.png"/><Relationship Id="rId26" Type="http://schemas.openxmlformats.org/officeDocument/2006/relationships/image" Target="media/image3.png"/><Relationship Id="rId27" Type="http://schemas.openxmlformats.org/officeDocument/2006/relationships/image" Target="media/image3.png"/><Relationship Id="rId28" Type="http://schemas.openxmlformats.org/officeDocument/2006/relationships/image" Target="media/image3.png"/><Relationship Id="rId29" Type="http://schemas.openxmlformats.org/officeDocument/2006/relationships/image" Target="media/image3.png"/><Relationship Id="rId30" Type="http://schemas.openxmlformats.org/officeDocument/2006/relationships/image" Target="media/image3.png"/><Relationship Id="rId31" Type="http://schemas.openxmlformats.org/officeDocument/2006/relationships/image" Target="media/image3.png"/><Relationship Id="rId32" Type="http://schemas.openxmlformats.org/officeDocument/2006/relationships/image" Target="media/image3.png"/><Relationship Id="rId33" Type="http://schemas.openxmlformats.org/officeDocument/2006/relationships/image" Target="media/image3.png"/><Relationship Id="rId34" Type="http://schemas.openxmlformats.org/officeDocument/2006/relationships/image" Target="media/image3.png"/><Relationship Id="rId35" Type="http://schemas.openxmlformats.org/officeDocument/2006/relationships/image" Target="media/image3.png"/><Relationship Id="rId36" Type="http://schemas.openxmlformats.org/officeDocument/2006/relationships/image" Target="media/image3.png"/><Relationship Id="rId37" Type="http://schemas.openxmlformats.org/officeDocument/2006/relationships/image" Target="media/image3.png"/><Relationship Id="rId38" Type="http://schemas.openxmlformats.org/officeDocument/2006/relationships/image" Target="media/image3.png"/><Relationship Id="rId39" Type="http://schemas.openxmlformats.org/officeDocument/2006/relationships/image" Target="media/image3.png"/><Relationship Id="rId40" Type="http://schemas.openxmlformats.org/officeDocument/2006/relationships/image" Target="media/image3.png"/><Relationship Id="rId41" Type="http://schemas.openxmlformats.org/officeDocument/2006/relationships/image" Target="media/image3.png"/><Relationship Id="rId42" Type="http://schemas.openxmlformats.org/officeDocument/2006/relationships/image" Target="media/image3.png"/><Relationship Id="rId43" Type="http://schemas.openxmlformats.org/officeDocument/2006/relationships/image" Target="media/image3.pn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6321</Words>
  <Characters>37454</Characters>
  <CharactersWithSpaces>43848</CharactersWithSpaces>
  <Paragraphs>1630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