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234" w:type="dxa"/>
        <w:jc w:val="center"/>
        <w:tblInd w:w="0" w:type="dxa"/>
        <w:tblLayout w:type="fixed"/>
        <w:tblCellMar>
          <w:top w:w="28" w:type="dxa"/>
          <w:left w:w="28" w:type="dxa"/>
          <w:bottom w:w="28" w:type="dxa"/>
          <w:right w:w="28" w:type="dxa"/>
        </w:tblCellMar>
      </w:tblPr>
      <w:tblGrid>
        <w:gridCol w:w="478"/>
        <w:gridCol w:w="420"/>
        <w:gridCol w:w="421"/>
        <w:gridCol w:w="267"/>
        <w:gridCol w:w="267"/>
        <w:gridCol w:w="38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 xml:space="preserve">FORM </w:t>
            </w:r>
          </w:p>
        </w:tc>
        <w:tc>
          <w:tcPr>
            <w:tcW w:w="9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10-Q</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 (d)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 (d)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001-43207 </w:t>
      </w:r>
    </w:p>
    <w:tbl>
      <w:tblPr>
        <w:tblW w:w="3521" w:type="dxa"/>
        <w:jc w:val="center"/>
        <w:tblInd w:w="0" w:type="dxa"/>
        <w:tblLayout w:type="fixed"/>
        <w:tblCellMar>
          <w:top w:w="28" w:type="dxa"/>
          <w:left w:w="28" w:type="dxa"/>
          <w:bottom w:w="28" w:type="dxa"/>
          <w:right w:w="28" w:type="dxa"/>
        </w:tblCellMar>
      </w:tblPr>
      <w:tblGrid>
        <w:gridCol w:w="1128"/>
        <w:gridCol w:w="991"/>
        <w:gridCol w:w="1402"/>
      </w:tblGrid>
      <w:tr>
        <w:trPr/>
        <w:tc>
          <w:tcPr>
            <w:tcW w:w="11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733425"/>
                          </a:xfrm>
                          <a:prstGeom prst="rect">
                            <a:avLst/>
                          </a:prstGeom>
                        </pic:spPr>
                      </pic:pic>
                    </a:graphicData>
                  </a:graphic>
                </wp:inline>
              </w:drawing>
            </w:r>
            <w:bookmarkStart w:id="0" w:name="i-1"/>
            <w:bookmarkEnd w:id="0"/>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ENVIRI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995"/>
        <w:gridCol w:w="990"/>
        <w:gridCol w:w="990"/>
        <w:gridCol w:w="549"/>
        <w:gridCol w:w="547"/>
        <w:gridCol w:w="539"/>
        <w:gridCol w:w="549"/>
        <w:gridCol w:w="549"/>
        <w:gridCol w:w="543"/>
        <w:gridCol w:w="1075"/>
        <w:gridCol w:w="1075"/>
        <w:gridCol w:w="108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41-2897233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Logan Square</w:t>
              <w:br/>
              <w:t>100-120 North 18th Street, 17th Floor,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Philadelphia,</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pPr>
      <w:r>
        <w:rPr>
          <w:rFonts w:ascii="Times New Roman;serif" w:hAnsi="Times New Roman;serif"/>
          <w:b w:val="false"/>
          <w:color w:val="000000"/>
          <w:sz w:val="20"/>
        </w:rPr>
        <w:t>Registrant’s telephone number, including area code: </w:t>
      </w:r>
      <w:r>
        <w:rPr>
          <w:color w:val="000000"/>
        </w:rPr>
        <w:t xml:space="preserve"> </w:t>
      </w:r>
      <w:r>
        <w:rPr>
          <w:rFonts w:ascii="Times New Roman;serif" w:hAnsi="Times New Roman;serif"/>
          <w:b/>
          <w:color w:val="000000"/>
          <w:sz w:val="20"/>
        </w:rPr>
        <w:t>267-857-8715</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53" w:type="dxa"/>
        <w:jc w:val="center"/>
        <w:tblInd w:w="0" w:type="dxa"/>
        <w:tblLayout w:type="fixed"/>
        <w:tblCellMar>
          <w:top w:w="28" w:type="dxa"/>
          <w:left w:w="28" w:type="dxa"/>
          <w:bottom w:w="28" w:type="dxa"/>
          <w:right w:w="28" w:type="dxa"/>
        </w:tblCellMar>
      </w:tblPr>
      <w:tblGrid>
        <w:gridCol w:w="1366"/>
        <w:gridCol w:w="1200"/>
        <w:gridCol w:w="1214"/>
        <w:gridCol w:w="109"/>
        <w:gridCol w:w="109"/>
        <w:gridCol w:w="109"/>
        <w:gridCol w:w="564"/>
        <w:gridCol w:w="564"/>
        <w:gridCol w:w="566"/>
        <w:gridCol w:w="109"/>
        <w:gridCol w:w="109"/>
        <w:gridCol w:w="109"/>
        <w:gridCol w:w="1118"/>
        <w:gridCol w:w="1118"/>
        <w:gridCol w:w="1589"/>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before="0" w:after="0"/>
        <w:ind w:left="0" w:right="0" w:firstLine="360"/>
        <w:jc w:val="left"/>
        <w:rPr/>
      </w:pPr>
      <w:r>
        <w:rPr/>
      </w:r>
    </w:p>
    <w:tbl>
      <w:tblPr>
        <w:tblW w:w="6686" w:type="dxa"/>
        <w:jc w:val="left"/>
        <w:tblInd w:w="0" w:type="dxa"/>
        <w:tblLayout w:type="fixed"/>
        <w:tblCellMar>
          <w:top w:w="28" w:type="dxa"/>
          <w:left w:w="28" w:type="dxa"/>
          <w:bottom w:w="28" w:type="dxa"/>
          <w:right w:w="28" w:type="dxa"/>
        </w:tblCellMar>
      </w:tblPr>
      <w:tblGrid>
        <w:gridCol w:w="1368"/>
        <w:gridCol w:w="1195"/>
        <w:gridCol w:w="1216"/>
        <w:gridCol w:w="109"/>
        <w:gridCol w:w="109"/>
        <w:gridCol w:w="109"/>
        <w:gridCol w:w="755"/>
        <w:gridCol w:w="755"/>
        <w:gridCol w:w="1070"/>
      </w:tblGrid>
      <w:tr>
        <w:trPr/>
        <w:tc>
          <w:tcPr>
            <w:tcW w:w="136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 at July 31, 2026</w:t>
            </w:r>
          </w:p>
        </w:tc>
      </w:tr>
      <w:tr>
        <w:trPr/>
        <w:tc>
          <w:tcPr>
            <w:tcW w:w="3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28,190,119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9710" w:type="dxa"/>
        <w:jc w:val="left"/>
        <w:tblInd w:w="0" w:type="dxa"/>
        <w:tblLayout w:type="fixed"/>
        <w:tblCellMar>
          <w:top w:w="28" w:type="dxa"/>
          <w:left w:w="28" w:type="dxa"/>
          <w:bottom w:w="28" w:type="dxa"/>
          <w:right w:w="28" w:type="dxa"/>
        </w:tblCellMar>
      </w:tblPr>
      <w:tblGrid>
        <w:gridCol w:w="666"/>
        <w:gridCol w:w="584"/>
        <w:gridCol w:w="584"/>
        <w:gridCol w:w="2439"/>
        <w:gridCol w:w="2439"/>
        <w:gridCol w:w="2487"/>
        <w:gridCol w:w="149"/>
        <w:gridCol w:w="149"/>
        <w:gridCol w:w="213"/>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1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3">
              <w:r>
                <w:rPr>
                  <w:rStyle w:val="InternetLink"/>
                  <w:rFonts w:ascii="Times New Roman;serif" w:hAnsi="Times New Roman;serif"/>
                  <w:b/>
                  <w:color w:val="0000FF"/>
                  <w:sz w:val="20"/>
                  <w:u w:val="single"/>
                </w:rPr>
                <w:t>PART I — FINANCIAL INFORMATION</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6">
              <w:r>
                <w:rPr>
                  <w:rStyle w:val="InternetLink"/>
                  <w:rFonts w:ascii="Times New Roman;serif" w:hAnsi="Times New Roman;serif"/>
                  <w:b w:val="false"/>
                  <w:color w:val="0000FF"/>
                  <w:sz w:val="18"/>
                  <w:u w:val="single"/>
                </w:rPr>
                <w:t>6</w:t>
              </w:r>
            </w:hyperlink>
            <w:r>
              <w:rPr>
                <w:color w:val="000000"/>
              </w:rPr>
              <w:t> </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9">
              <w:r>
                <w:rPr>
                  <w:rStyle w:val="InternetLink"/>
                  <w:rFonts w:ascii="Times New Roman;serif" w:hAnsi="Times New Roman;serif"/>
                  <w:b w:val="false"/>
                  <w:color w:val="0000FF"/>
                  <w:sz w:val="20"/>
                  <w:u w:val="singl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9">
              <w:r>
                <w:rPr>
                  <w:rStyle w:val="InternetLink"/>
                  <w:rFonts w:ascii="Times New Roman;serif" w:hAnsi="Times New Roman;serif"/>
                  <w:b w:val="false"/>
                  <w:color w:val="0000FF"/>
                  <w:sz w:val="18"/>
                  <w:u w:val="single"/>
                </w:rPr>
                <w:t>6</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25">
              <w:r>
                <w:rPr>
                  <w:rStyle w:val="InternetLink"/>
                  <w:rFonts w:ascii="Times New Roman;serif" w:hAnsi="Times New Roman;serif"/>
                  <w:b w:val="false"/>
                  <w:color w:val="0000FF"/>
                  <w:sz w:val="20"/>
                  <w:u w:val="single"/>
                </w:rPr>
                <w:t>Condensed Consolidated Statements of Operations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25">
              <w:r>
                <w:rPr>
                  <w:rStyle w:val="InternetLink"/>
                  <w:rFonts w:ascii="Times New Roman;serif" w:hAnsi="Times New Roman;serif"/>
                  <w:b w:val="false"/>
                  <w:color w:val="0000FF"/>
                  <w:sz w:val="18"/>
                  <w:u w:val="single"/>
                </w:rPr>
                <w:t>8</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28">
              <w:r>
                <w:rPr>
                  <w:rStyle w:val="InternetLink"/>
                  <w:rFonts w:ascii="Times New Roman;serif" w:hAnsi="Times New Roman;serif"/>
                  <w:b w:val="false"/>
                  <w:color w:val="0000FF"/>
                  <w:sz w:val="20"/>
                  <w:u w:val="single"/>
                </w:rPr>
                <w:t>Condensed Consolidated Statements of Comprehensive Income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28">
              <w:r>
                <w:rPr>
                  <w:rStyle w:val="InternetLink"/>
                  <w:rFonts w:ascii="Times New Roman;serif" w:hAnsi="Times New Roman;serif"/>
                  <w:b w:val="false"/>
                  <w:color w:val="0000FF"/>
                  <w:sz w:val="18"/>
                  <w:u w:val="single"/>
                </w:rPr>
                <w:t>9</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31">
              <w:r>
                <w:rPr>
                  <w:rStyle w:val="InternetLink"/>
                  <w:rFonts w:ascii="Times New Roman;serif" w:hAnsi="Times New Roman;serif"/>
                  <w:b w:val="false"/>
                  <w:color w:val="0000FF"/>
                  <w:sz w:val="20"/>
                  <w:u w:val="single"/>
                </w:rPr>
                <w:t>Condensed 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31">
              <w:r>
                <w:rPr>
                  <w:rStyle w:val="InternetLink"/>
                  <w:rFonts w:ascii="Times New Roman;serif" w:hAnsi="Times New Roman;serif"/>
                  <w:b w:val="false"/>
                  <w:color w:val="0000FF"/>
                  <w:sz w:val="18"/>
                  <w:u w:val="single"/>
                </w:rPr>
                <w:t>10</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34">
              <w:r>
                <w:rPr>
                  <w:rStyle w:val="InternetLink"/>
                  <w:rFonts w:ascii="Times New Roman;serif" w:hAnsi="Times New Roman;serif"/>
                  <w:b w:val="false"/>
                  <w:color w:val="0000FF"/>
                  <w:sz w:val="20"/>
                  <w:u w:val="single"/>
                </w:rPr>
                <w:t>Condensed Consolidated Statements of Equity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34">
              <w:r>
                <w:rPr>
                  <w:rStyle w:val="InternetLink"/>
                  <w:rFonts w:ascii="Times New Roman;serif" w:hAnsi="Times New Roman;serif"/>
                  <w:b w:val="false"/>
                  <w:color w:val="0000FF"/>
                  <w:sz w:val="18"/>
                  <w:u w:val="single"/>
                </w:rPr>
                <w:t>12</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37">
              <w:r>
                <w:rPr>
                  <w:rStyle w:val="InternetLink"/>
                  <w:rFonts w:ascii="Times New Roman;serif" w:hAnsi="Times New Roman;serif"/>
                  <w:b w:val="false"/>
                  <w:color w:val="0000FF"/>
                  <w:sz w:val="20"/>
                  <w:u w:val="singl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37">
              <w:r>
                <w:rPr>
                  <w:rStyle w:val="InternetLink"/>
                  <w:rFonts w:ascii="Times New Roman;serif" w:hAnsi="Times New Roman;serif"/>
                  <w:b w:val="false"/>
                  <w:color w:val="0000FF"/>
                  <w:sz w:val="18"/>
                  <w:u w:val="single"/>
                </w:rPr>
                <w:t>13</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2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24">
              <w:r>
                <w:rPr>
                  <w:rStyle w:val="InternetLink"/>
                  <w:rFonts w:ascii="Times New Roman;serif" w:hAnsi="Times New Roman;serif"/>
                  <w:b w:val="false"/>
                  <w:color w:val="0000FF"/>
                  <w:sz w:val="18"/>
                  <w:u w:val="single"/>
                </w:rPr>
                <w:t>42</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39">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39">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39">
              <w:r>
                <w:rPr>
                  <w:rStyle w:val="InternetLink"/>
                  <w:rFonts w:ascii="Times New Roman;serif" w:hAnsi="Times New Roman;serif"/>
                  <w:b w:val="false"/>
                  <w:color w:val="0000FF"/>
                  <w:sz w:val="18"/>
                  <w:u w:val="single"/>
                </w:rPr>
                <w:t>54</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42">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42">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42">
              <w:r>
                <w:rPr>
                  <w:rStyle w:val="InternetLink"/>
                  <w:rFonts w:ascii="Times New Roman;serif" w:hAnsi="Times New Roman;serif"/>
                  <w:b w:val="false"/>
                  <w:color w:val="0000FF"/>
                  <w:sz w:val="18"/>
                  <w:u w:val="single"/>
                </w:rPr>
                <w:t>55</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91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45">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48">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48">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45">
              <w:r>
                <w:rPr>
                  <w:rStyle w:val="InternetLink"/>
                  <w:rFonts w:ascii="Times New Roman;serif" w:hAnsi="Times New Roman;serif"/>
                  <w:b w:val="false"/>
                  <w:color w:val="0000FF"/>
                  <w:sz w:val="18"/>
                  <w:u w:val="single"/>
                </w:rPr>
                <w:t>55</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51">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51">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51">
              <w:r>
                <w:rPr>
                  <w:rStyle w:val="InternetLink"/>
                  <w:rFonts w:ascii="Times New Roman;serif" w:hAnsi="Times New Roman;serif"/>
                  <w:b w:val="false"/>
                  <w:color w:val="0000FF"/>
                  <w:sz w:val="18"/>
                  <w:u w:val="single"/>
                </w:rPr>
                <w:t>55</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5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54">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54">
              <w:r>
                <w:rPr>
                  <w:rStyle w:val="InternetLink"/>
                  <w:rFonts w:ascii="Times New Roman;serif" w:hAnsi="Times New Roman;serif"/>
                  <w:b w:val="false"/>
                  <w:color w:val="0000FF"/>
                  <w:sz w:val="18"/>
                  <w:u w:val="single"/>
                </w:rPr>
                <w:t>55</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57">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57">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57">
              <w:r>
                <w:rPr>
                  <w:rStyle w:val="InternetLink"/>
                  <w:rFonts w:ascii="Times New Roman;serif" w:hAnsi="Times New Roman;serif"/>
                  <w:b w:val="false"/>
                  <w:color w:val="0000FF"/>
                  <w:sz w:val="18"/>
                  <w:u w:val="single"/>
                </w:rPr>
                <w:t>56</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0">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0">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60">
              <w:r>
                <w:rPr>
                  <w:rStyle w:val="InternetLink"/>
                  <w:rFonts w:ascii="Times New Roman;serif" w:hAnsi="Times New Roman;serif"/>
                  <w:b w:val="false"/>
                  <w:color w:val="0000FF"/>
                  <w:sz w:val="18"/>
                  <w:u w:val="single"/>
                </w:rPr>
                <w:t>56</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3">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63">
              <w:r>
                <w:rPr>
                  <w:rStyle w:val="InternetLink"/>
                  <w:rFonts w:ascii="Times New Roman;serif" w:hAnsi="Times New Roman;serif"/>
                  <w:b w:val="false"/>
                  <w:color w:val="0000FF"/>
                  <w:sz w:val="18"/>
                  <w:u w:val="single"/>
                </w:rPr>
                <w:t>56</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6">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6">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66">
              <w:r>
                <w:rPr>
                  <w:rStyle w:val="InternetLink"/>
                  <w:rFonts w:ascii="Times New Roman;serif" w:hAnsi="Times New Roman;serif"/>
                  <w:b w:val="false"/>
                  <w:color w:val="0000FF"/>
                  <w:sz w:val="18"/>
                  <w:u w:val="single"/>
                </w:rPr>
                <w:t>57</w:t>
              </w:r>
            </w:hyperlink>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4d023afac40299f000dda51dfd2bc_169">
              <w:r>
                <w:rPr>
                  <w:rStyle w:val="InternetLink"/>
                  <w:rFonts w:ascii="Times New Roman;serif" w:hAnsi="Times New Roman;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d4d023afac40299f000dda51dfd2bc_169">
              <w:r>
                <w:rPr>
                  <w:rStyle w:val="InternetLink"/>
                  <w:rFonts w:ascii="Times New Roman;serif" w:hAnsi="Times New Roman;serif"/>
                  <w:b w:val="false"/>
                  <w:color w:val="0000FF"/>
                  <w:sz w:val="18"/>
                  <w:u w:val="single"/>
                </w:rPr>
                <w:t>58</w:t>
              </w:r>
            </w:hyperlink>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further described below, on June 1, 2026, the transactions contemplated by the Separation Agreement and the Merger Agreement were completed, and Enviri is now a separate, publicly traded company that holds the Harsco Environmental and Rail businesses. See “Glossary” for the definition of certain capitalized terms used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20, 2025, Legacy Enviri entered into definitive agreements with Veolia, for the sale of Legacy Enviri’s Clean Earth segment and the distribution of Legacy Enviri’s Harsco Environmental and Rail segments, including (i) the Merger Agreement, by and among Legacy Enviri, CE Holdings, Enviri LLC, Veolia and Liberty Merger Sub Inc. and (ii) the Separation Agreement, by and among Legacy Enviri, CE Holdings, Veolia and Enviri.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the following series of transactions occurred: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Pursuant to Section 251(g) of the Delaware General Corporation Law, Legacy Enviri merged with and into Enviri LLC, with Enviri LLC being the surviving entity of such merger, and each outstanding share of common stock, par value $1.25 per share, of Legacy Enviri (“Legacy Enviri Common Stock”) was exchanged for one share of common stock, par value $1.25 per share, of CE Holdings (“CE Holdings Common Stock”) (the “Holding Company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 Holdings and its subsidiaries, including Enviri LLC and Enviri, effected a reorganization (the “Reorganization”), resulting in (i) CE Holdings holding the Clean Earth segment and owning all of the outstanding shares of common stock, par value $0.00001 per share, of Enviri (“Enviri Common Stock”), (ii) Enviri owning all of the equity interests of Enviri LLC, and (iii) Enviri LLC holding the Harsco Environmental and Rail segments;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 Holdings distributed all of the outstanding shares of Enviri Common Stock to the stockholders of CE Holdings, the former stockholders of Legacy Enviri, on a pro rata basis (the “Distribution”) and, together with the Reorganization, the “Spin-Off”), at a ratio of one share of Enviri Common Stock for every three shares of CE Holdings Common Stock held by them immediately after the effective time of the Holding Company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following the Spin-Off, Merger Sub merged with and into CE Holdings, with CE Holdings surviving as an indirect wholly owned subsidiary of Veolia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Enviri Corporation, the registrant, was incorporated on November 3, 2025 under the laws of the State of Delaware as Enviri II Corporation. On June 2, 2026, Enviri II Corporation was renamed Enviri Corporation.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former indirect parent of the registrant, also named Enviri Corporation, was incorporated on February 28, 1956 under the laws of the State of Delaware, and, prior to the Holding Company Merger, held Harsco Environmental, Clean Earth and Rail as a separate publicly traded company, and, in connection with the Holding Company Merger, merged into Enviri LLC with Enviri LLC being the surviving entity.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references in this Quarterly Report on Form 10-Q to (i) “Legacy Enviri” means Enviri Corporation, the Delaware corporation incorporated in 1956 and former indirect parent of the registrant and (ii) “Enviri,” the “Company,” “we,” “us” or “our” mean Enviri Corporation, the Delaware corporation incorporated in 2025 and formerly named Enviri II Corporation, and its direct and indirect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Enviri is the registrant and the financial reporting entity following the completion of the Transactions. Legacy Enviri, which was merged into Enviri LLC, with Enviri LLC surviving, no longer exists as a separate company following the completion of the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Notwithstanding the legal form of the Spin-Off described above, the Spin-Off is being treated as a reverse spin-off for accounting and financial reporting purposes in accordance with Accounting Standards Codification (“ASC”) 505-60, Spinoffs and Reverse Spinoffs. This treatment is primarily a result of the size of Enviri, the legal spinee, relative to CE Holdings, the legal spinnor, and because Merger Sub merged with and into CE Holdings immediately following the Distribution, no members of corporate senior management of Enviri were retained by CE Holdings following the Distribution and the Merger occurred immediately after the Spin-Off. As a result, Enviri is considered the accounting spinnor of CE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determined that Legacy Enviri represents the accounting predecessor to Enviri and Enviri represents the accounting successor to Legacy Enviri. Therefore, the historical consolidated financial statements of Enviri, with respect to periods prior to June 1, 2026, are represented by the historical financial statements of Legacy Enviri with the Clean Earth segment reported as discontinued operations in accordance with ASC 205-20, Discontinued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several terms in this Quarterly Report on Form 10-Q, which are further defined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8"/>
        <w:gridCol w:w="493"/>
        <w:gridCol w:w="416"/>
        <w:gridCol w:w="109"/>
        <w:gridCol w:w="109"/>
        <w:gridCol w:w="109"/>
        <w:gridCol w:w="2384"/>
        <w:gridCol w:w="2362"/>
        <w:gridCol w:w="3375"/>
      </w:tblGrid>
      <w:tr>
        <w:trPr/>
        <w:tc>
          <w:tcPr>
            <w:tcW w:w="84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7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trade receivables securitization facility</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 Accounting Standards Update</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 or Clean Earth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Clean Earth reportable business segment, now reported in discontinued operations</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CERCLA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Environmental Response, Compensation, and Liability Act of 1980</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CLEH, Inc., a Delaware corporation and, prior to the Holding Company Merger, a direct wholly owned subsidiary of Legacy Enviri, and, after the Holding Company Merger, the direct parent of Enviri LLC and Enviri, and after the Merger, an indirect wholly owned subsidiary of Veolia that will directly and indirectly hold the Clean Earth segment</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 Holdings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issued by CE Holdings to Enviri LLC in connection with the Reorganization for $1.7 billion</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calculated in accordance with the Credit Agreement</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governing the Senior Secured Credit Facilities</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Deutsche Bahn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railway company in Germany</w:t>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 depreciation and amortization</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Enviri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Enviri, LLC, a Delaware limited liability company and, prior to the Holding Company Merger and Reorganization, a direct wholly owned subsidiary of CE Holdings, and, after the Reorganization, a direct wholly owned subsidiary of Enviri</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Environmental Protection Agency</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 or Harsco Environmental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Environmental reportable business segment</w:t>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coverage ratio as calculated in accordance with the Credit Agreement</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Merger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November 20, 2025, by and among Legacy Enviri, CE Holdings, Enviri LLC, Veolia and Merger Sub</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Merger Sub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Merger Sub Inc., a Delaware corporation and wholly owned indirect subsidiary of Veolia</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minus cash and cash equivalents, as defined in the Credit Agreement</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Network 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manager for most of the railway in the U.K.</w:t>
            </w:r>
          </w:p>
        </w:tc>
      </w:tr>
      <w:tr>
        <w:trPr/>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Rail or Harsco 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Harsco Rail reportable business segment</w:t>
            </w:r>
          </w:p>
        </w:tc>
      </w:tr>
      <w:tr>
        <w:trPr/>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8"/>
        <w:gridCol w:w="439"/>
        <w:gridCol w:w="441"/>
        <w:gridCol w:w="109"/>
        <w:gridCol w:w="109"/>
        <w:gridCol w:w="109"/>
        <w:gridCol w:w="2687"/>
        <w:gridCol w:w="2322"/>
        <w:gridCol w:w="3301"/>
      </w:tblGrid>
      <w:tr>
        <w:trPr/>
        <w:tc>
          <w:tcPr>
            <w:tcW w:w="68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under the Senior Secured Credit Facilities containing (x) prior to the completion of the Transactions, $50.0 million maturing on the earlier of (i) July 1, 2026 and (ii) the closing date on which Clean Earth is sold to Veolia and $625.0 million maturing on September 5, 2029 and (y) following the completion of the Transactions, $152.0 million maturing on September 5, 2029</w:t>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railway system of Switzerland</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Kingdom of Bahrain's Supreme Council for Environment</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 Notes due July 31, 2027, which were redeemed in connection with the completion of the Transactions</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Secured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Primary source of borrowings comprised of the Term Loan and the Revolving Credit Facility</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Separation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Agreement, dated as of November 20, 2025. by and among Legacy Enviri, CE Holdings, Veolia and Enviri</w:t>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wholly-owned bankruptcy-remote special purpose entity, which is used in connection with the AR Facility</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 million term loan raised in March 2021 under the Senior Secured Credit Facilities, maturing on March 10, 2028</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Holding Company Merger, the Reorganization, the Distribution and the Merger</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Veolia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Veolia Environnement S.A., a French société anonyme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ITEM 1.</w:t>
      </w:r>
      <w:r>
        <w:rPr>
          <w:color w:val="000000"/>
        </w:rPr>
        <w:t xml:space="preserve">      </w:t>
      </w:r>
      <w:r>
        <w:rPr>
          <w:rFonts w:ascii="Times New Roman;serif" w:hAnsi="Times New Roman;serif"/>
          <w:b/>
          <w:color w:val="000000"/>
          <w:sz w:val="20"/>
          <w:u w:val="singl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ENVIRI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6245" w:type="dxa"/>
        <w:jc w:val="left"/>
        <w:tblInd w:w="0" w:type="dxa"/>
        <w:tblLayout w:type="fixed"/>
        <w:tblCellMar>
          <w:top w:w="28" w:type="dxa"/>
          <w:left w:w="28" w:type="dxa"/>
          <w:bottom w:w="28" w:type="dxa"/>
          <w:right w:w="28" w:type="dxa"/>
        </w:tblCellMar>
      </w:tblPr>
      <w:tblGrid>
        <w:gridCol w:w="1151"/>
        <w:gridCol w:w="1012"/>
        <w:gridCol w:w="1016"/>
        <w:gridCol w:w="109"/>
        <w:gridCol w:w="109"/>
        <w:gridCol w:w="109"/>
        <w:gridCol w:w="196"/>
        <w:gridCol w:w="886"/>
        <w:gridCol w:w="109"/>
        <w:gridCol w:w="109"/>
        <w:gridCol w:w="109"/>
        <w:gridCol w:w="109"/>
        <w:gridCol w:w="196"/>
        <w:gridCol w:w="87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28,938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30,636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790,869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405,394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374,579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advances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liabilities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551,198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380,539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7716" w:type="dxa"/>
        <w:jc w:val="left"/>
        <w:tblInd w:w="0" w:type="dxa"/>
        <w:tblLayout w:type="fixed"/>
        <w:tblCellMar>
          <w:top w:w="28" w:type="dxa"/>
          <w:left w:w="28" w:type="dxa"/>
          <w:bottom w:w="28" w:type="dxa"/>
          <w:right w:w="28" w:type="dxa"/>
        </w:tblCellMar>
      </w:tblPr>
      <w:tblGrid>
        <w:gridCol w:w="1682"/>
        <w:gridCol w:w="1477"/>
        <w:gridCol w:w="1491"/>
        <w:gridCol w:w="109"/>
        <w:gridCol w:w="109"/>
        <w:gridCol w:w="109"/>
        <w:gridCol w:w="196"/>
        <w:gridCol w:w="886"/>
        <w:gridCol w:w="109"/>
        <w:gridCol w:w="109"/>
        <w:gridCol w:w="109"/>
        <w:gridCol w:w="109"/>
        <w:gridCol w:w="196"/>
        <w:gridCol w:w="871"/>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1,040,099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ENVIRI CORPORATION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(495,267)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1,133,668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Enviri Corporation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639,081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682,687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1,722,786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2,742,789 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596"/>
        <w:gridCol w:w="1403"/>
        <w:gridCol w:w="1406"/>
        <w:gridCol w:w="109"/>
        <w:gridCol w:w="109"/>
        <w:gridCol w:w="109"/>
        <w:gridCol w:w="196"/>
        <w:gridCol w:w="767"/>
        <w:gridCol w:w="109"/>
        <w:gridCol w:w="109"/>
        <w:gridCol w:w="109"/>
        <w:gridCol w:w="109"/>
        <w:gridCol w:w="196"/>
        <w:gridCol w:w="736"/>
        <w:gridCol w:w="109"/>
        <w:gridCol w:w="109"/>
        <w:gridCol w:w="109"/>
        <w:gridCol w:w="109"/>
        <w:gridCol w:w="196"/>
        <w:gridCol w:w="767"/>
        <w:gridCol w:w="109"/>
        <w:gridCol w:w="109"/>
        <w:gridCol w:w="109"/>
        <w:gridCol w:w="109"/>
        <w:gridCol w:w="196"/>
        <w:gridCol w:w="736"/>
        <w:gridCol w:w="109"/>
        <w:gridCol w:w="109"/>
        <w:gridCol w:w="157"/>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516,126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131,763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 - Rail contract exit-related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187,342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511,390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427,723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 - Rail contract exit-related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70,890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70,890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431,765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761,698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(244,423)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(250,308)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fees and debt-related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from continuing operations before income taxes and equity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(256,318)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(274,428)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income (loss) of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(296,816)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(320,049)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(97,694)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(83,999)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(394,510)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(404,048)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(395,995)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(406,660)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Amounts attributable to Enviri Corporation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(298,301)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(322,661)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(395,995)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(406,660)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 attributable to Enviri Corporation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 attributable to Enviri Corporation common stockholders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shares of common stock outstanding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 attributable to Enviri Corporation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 attributable to Enviri Corporation common stockholders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Weighted-average shares outstanding and earnings per share amounts for periods prior to the completion of the Transactions have been retrospectively adjusted to reflect the impact of the Transactions on the Company's capital structure.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Earnings (loss) per share attributable to Enviri Corporation common stockholders is calculated based on actual amounts. As a result, these per share amounts may not total due to rounding.</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2645"/>
        <w:gridCol w:w="2296"/>
        <w:gridCol w:w="2269"/>
        <w:gridCol w:w="109"/>
        <w:gridCol w:w="109"/>
        <w:gridCol w:w="109"/>
        <w:gridCol w:w="211"/>
        <w:gridCol w:w="879"/>
        <w:gridCol w:w="109"/>
        <w:gridCol w:w="109"/>
        <w:gridCol w:w="109"/>
        <w:gridCol w:w="109"/>
        <w:gridCol w:w="211"/>
        <w:gridCol w:w="774"/>
        <w:gridCol w:w="157"/>
      </w:tblGrid>
      <w:tr>
        <w:trPr/>
        <w:tc>
          <w:tcPr>
            <w:tcW w:w="2645"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(394,510)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deferred income taxes of $1,375 and $3,790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cash flow hedging instruments, net of deferred income taxes of $561 and $352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adjustments, net of deferred income taxes of $196 and $(204)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deferred income taxes of $— and $(4)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(379,552)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(381,489)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(39,641)</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665"/>
        <w:gridCol w:w="2292"/>
        <w:gridCol w:w="2260"/>
        <w:gridCol w:w="109"/>
        <w:gridCol w:w="109"/>
        <w:gridCol w:w="109"/>
        <w:gridCol w:w="211"/>
        <w:gridCol w:w="875"/>
        <w:gridCol w:w="109"/>
        <w:gridCol w:w="109"/>
        <w:gridCol w:w="109"/>
        <w:gridCol w:w="109"/>
        <w:gridCol w:w="211"/>
        <w:gridCol w:w="770"/>
        <w:gridCol w:w="158"/>
      </w:tblGrid>
      <w:tr>
        <w:trPr/>
        <w:tc>
          <w:tcPr>
            <w:tcW w:w="266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7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(404,048)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deferred income taxes of $— and $5,746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cash flow hedging instruments, net of deferred income taxes of $126 thousand and $1,135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adjustments, net of deferred income taxes of $— and $(457)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deferred income taxes of $— and $(3)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17,074</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(37,492)</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(387,446)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(40,906)</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667"/>
        <w:gridCol w:w="2244"/>
        <w:gridCol w:w="2251"/>
        <w:gridCol w:w="109"/>
        <w:gridCol w:w="109"/>
        <w:gridCol w:w="109"/>
        <w:gridCol w:w="211"/>
        <w:gridCol w:w="876"/>
        <w:gridCol w:w="109"/>
        <w:gridCol w:w="109"/>
        <w:gridCol w:w="109"/>
        <w:gridCol w:w="109"/>
        <w:gridCol w:w="211"/>
        <w:gridCol w:w="826"/>
        <w:gridCol w:w="156"/>
      </w:tblGrid>
      <w:tr>
        <w:trPr/>
        <w:tc>
          <w:tcPr>
            <w:tcW w:w="266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Six Months Ended June 30</w:t>
            </w:r>
          </w:p>
        </w:tc>
      </w:tr>
      <w:tr>
        <w:trPr/>
        <w:tc>
          <w:tcPr>
            <w:tcW w:w="7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entities,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impairment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exit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dispositions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on contracts and other customer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(275,402)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CE Holdings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1,724,804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for commercial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(payments) from settlement of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1,639,080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and repayments under Revolving Credit Facility,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finance leases and other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 appreciation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Employee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(1,183,591)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including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including restricted cash and cash included in Current portion of assets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177,994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and cash included in Current portion of assets held-for-sale,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including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303,342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 reported in the Condensed Consolidated Balance Sheets:</w:t>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303,342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EQUITY (Unaudited)</w:t>
      </w:r>
    </w:p>
    <w:p>
      <w:pPr>
        <w:pStyle w:val="TextBody"/>
        <w:bidi w:val="0"/>
        <w:spacing w:before="0" w:after="0"/>
        <w:jc w:val="left"/>
        <w:rPr/>
      </w:pPr>
      <w:r>
        <w:rPr/>
      </w:r>
    </w:p>
    <w:tbl>
      <w:tblPr>
        <w:tblW w:w="12032" w:type="dxa"/>
        <w:jc w:val="center"/>
        <w:tblInd w:w="0" w:type="dxa"/>
        <w:tblLayout w:type="fixed"/>
        <w:tblCellMar>
          <w:top w:w="28" w:type="dxa"/>
          <w:left w:w="28" w:type="dxa"/>
          <w:bottom w:w="28" w:type="dxa"/>
          <w:right w:w="28" w:type="dxa"/>
        </w:tblCellMar>
      </w:tblPr>
      <w:tblGrid>
        <w:gridCol w:w="756"/>
        <w:gridCol w:w="664"/>
        <w:gridCol w:w="666"/>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247"/>
        <w:gridCol w:w="815"/>
        <w:gridCol w:w="139"/>
        <w:gridCol w:w="109"/>
        <w:gridCol w:w="109"/>
        <w:gridCol w:w="109"/>
        <w:gridCol w:w="196"/>
        <w:gridCol w:w="73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Enviri Corporation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$2,487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284,643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performance share units, net 14,860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unearned stock-based compensation,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(853,360)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(529,638)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$3,934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144,761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portion of 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(853,416)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1,322,009 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(521,466)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41,565 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1342" w:type="dxa"/>
        <w:jc w:val="left"/>
        <w:tblInd w:w="0" w:type="dxa"/>
        <w:tblLayout w:type="fixed"/>
        <w:tblCellMar>
          <w:top w:w="28" w:type="dxa"/>
          <w:left w:w="28" w:type="dxa"/>
          <w:bottom w:w="28" w:type="dxa"/>
          <w:right w:w="28" w:type="dxa"/>
        </w:tblCellMar>
      </w:tblPr>
      <w:tblGrid>
        <w:gridCol w:w="608"/>
        <w:gridCol w:w="363"/>
        <w:gridCol w:w="365"/>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886"/>
        <w:gridCol w:w="109"/>
        <w:gridCol w:w="109"/>
        <w:gridCol w:w="109"/>
        <w:gridCol w:w="109"/>
        <w:gridCol w:w="196"/>
        <w:gridCol w:w="751"/>
        <w:gridCol w:w="109"/>
        <w:gridCol w:w="109"/>
        <w:gridCol w:w="109"/>
        <w:gridCol w:w="109"/>
        <w:gridCol w:w="243"/>
        <w:gridCol w:w="821"/>
        <w:gridCol w:w="137"/>
        <w:gridCol w:w="109"/>
        <w:gridCol w:w="109"/>
        <w:gridCol w:w="109"/>
        <w:gridCol w:w="196"/>
        <w:gridCol w:w="75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Enviri Corporation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(514,481)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 appreciation rights exercised, net 102,264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427,651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performance share units, net 726,189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unearned 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152,334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(882,901)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272,950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1,200,569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(509,773)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41,732</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274,911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$2,132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subsidiary shares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 appreciation rights exercised, net 148,483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680,987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performance share units, net 625,479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shares for deferred compensation, net 150,700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portion of 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connection with the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Distribution of Clean Earth,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Balances,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1,133,668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(495,267)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43,606</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682,687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these unaudited condensed consolidated financial statements in accordance with U.S. GAAP for interim financial information and with the instructions to Form 10-Q and Rule 10-01 of Regulation S-X of the SEC. Accordingly, the unaudited Condensed Consolidated Financial Statements do not include all information and disclosure required by U.S. GAAP for annual financial statements. The December 31, 2025 Condensed Consolidated Balance Sheet information contained in this Quarterly Report on Form 10-Q was derived from the 2025 audited consolidated financial statements. These unaudited Condensed Consolidated Financial Statements should be read in conjunction with the audited Consolidated Financial Statements, including the notes thereto, included in the Company’s Information Statement (the "Information Statement"), dated May 8, 2026, attached as Exhibit 99.1 to the Company's Current Report on Form 8-K furnished to the SEC on May 11, 2026. In the opinion of management, all adjustments (all of which are of a normal recurring nature) that are necessary for a fair statement are reflected in these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the transactions contemplated by the Separation Agreement and the Merger Agreement, including the Holding Company Merger, the Distribution, the Merger and the Reorganization, were completed, resulting in the Company becoming a separate, publicly traded company that holds the Harsco Environmental and Rail segments and Veolia indirectly holding 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size of the Company, the legal spinee, relative to CE Holdings, the legal spinnor, among other factors, Enviri is treated as the "accounting spinnor", notwithstanding the legal form of spin-off. The Company has also determined that Legacy Enviri represents the "accounting predecessor" to Enviri and Enviri represents the "accounting successor" to Legacy Enviri for accounting purposes. Therefore, the historical financial statements of Enviri, with respect to periods prior to June 1, 2026, are represented by the historical consolidated financial statements of Legacy Enviri, with CE reported as discontinued operations in accordance with ASC 205-20, Discontinued Operations. Therefore, the Company's Condensed Consolidated Statements of Operations for the three and six months ended June 30, 2025 have been recast to reflect the after tax operating results of CE in Income (loss) from discontinued operations, net of tax. In addition, certain costs related to the Transactions, interest expense related to the portion of the Company's total debt that was required to be repaid on June 1, 2026 and fees related to the Company's AR Facility that was required to be terminated at the closing of the Transactions, are also allocated to Income (loss) from discontinued operations, net of tax. CE's assets and liabilities have been reclassified as held-for-sale in the Company's Consolidated Balance Sheets as of December 31, 2025, which were previously classified as held-for-use. All disclosures have been updated to reflect these changes. See Note 4, Dispositions for additional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completion of the Transactions resulted in the exchange of one share of CE Holdings common stock for one share of Legacy Enviri common stock, and subsequently one share of Enviri common stock for every three shares of CE Holdings common stock. As such, the weighted-average shares outstanding and all earnings per share data for periods prior to the Transaction have been retrospectively adjusted to reflect the impact of the Transactions on the Company's capital 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 have been made to prior year amounts to conform with current year classifications. These reclassifications did not have a material impact on the Company's Condensed Consolidated Financial Statements, including the notes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Revision of Previously Issued Financial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management identified certain errors related to the measurement of certain aspects of the defined benefit pension obligation associated with the U.K. pension plan (the “Plan”) administered by the Company. The errors related to the historic application of certain provisions governing pension benefits in the actuarial estimation of the liabilities for certain acquired pension plans merged into the Plan. The errors were identified by the Company during a review of the Plan in preparation for the potential buy-out of the Plan’s liabilities by an insurance company.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evaluated the identified errors in accordance with ASC 250, Accounting Changes and Error Corrections, and applicable SEC guidance, including SAB 99, considering both quantitative and qualitative factors. Management concluded that the errors were not material to the Company’s previously issued consolidated financial statements for any individual period. However, due to the cumulative impact of these errors, the Company revised the prior-period financial statements.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revisions primarily affected Retirement plan assets and Retained earnings with corresponding impacts to Defined benefit pension income (expense) and Accumulated other comprehensive income (loss). In connection with the revision, the Company also corrected other previously identified immaterial errors. The revision did not impact the Company’s previously reported net cash flows or compliance with debt covenants.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impacts of revising the Condensed Consolidated Statements of Operations for the correction of the errors discussed above and reclassifications related to the Transactions for the periods presented are as follows:</w:t>
      </w:r>
    </w:p>
    <w:tbl>
      <w:tblPr>
        <w:tblW w:w="10205" w:type="dxa"/>
        <w:jc w:val="left"/>
        <w:tblInd w:w="0" w:type="dxa"/>
        <w:tblLayout w:type="fixed"/>
        <w:tblCellMar>
          <w:top w:w="28" w:type="dxa"/>
          <w:left w:w="28" w:type="dxa"/>
          <w:bottom w:w="28" w:type="dxa"/>
          <w:right w:w="28" w:type="dxa"/>
        </w:tblCellMar>
      </w:tblPr>
      <w:tblGrid>
        <w:gridCol w:w="1268"/>
        <w:gridCol w:w="855"/>
        <w:gridCol w:w="858"/>
        <w:gridCol w:w="109"/>
        <w:gridCol w:w="109"/>
        <w:gridCol w:w="109"/>
        <w:gridCol w:w="243"/>
        <w:gridCol w:w="916"/>
        <w:gridCol w:w="135"/>
        <w:gridCol w:w="109"/>
        <w:gridCol w:w="109"/>
        <w:gridCol w:w="109"/>
        <w:gridCol w:w="308"/>
        <w:gridCol w:w="757"/>
        <w:gridCol w:w="173"/>
        <w:gridCol w:w="109"/>
        <w:gridCol w:w="109"/>
        <w:gridCol w:w="109"/>
        <w:gridCol w:w="359"/>
        <w:gridCol w:w="1379"/>
        <w:gridCol w:w="201"/>
        <w:gridCol w:w="109"/>
        <w:gridCol w:w="109"/>
        <w:gridCol w:w="109"/>
        <w:gridCol w:w="259"/>
        <w:gridCol w:w="974"/>
        <w:gridCol w:w="212"/>
      </w:tblGrid>
      <w:tr>
        <w:trPr/>
        <w:tc>
          <w:tcPr>
            <w:tcW w:w="12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Reclassification for 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 and Reclassified</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258,959 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562,254 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(246,231)</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315,972 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(179,908)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214,903 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53,773 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569,445 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(221,890)</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347,555 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(24,341)</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(31,583)</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fees and debt-related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from continuing operations before income taxes and equity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income (loss) of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(44,668)</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(46,549)</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(46,755)</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(47,813)</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Amounts attributable to Enviri Corporation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(47,813)</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Weighted-average shares of common stock outstanding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Basic earnings (loss) per share attributable to Enviri Corporation common stockholders: </w:t>
            </w:r>
            <w:r>
              <w:rPr>
                <w:rFonts w:ascii="Times New Roman;serif" w:hAnsi="Times New Roman;serif"/>
                <w:b w:val="false"/>
                <w:color w:val="000000"/>
                <w:sz w:val="12"/>
              </w:rPr>
              <w:t>(b)</w:t>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1"/>
        <w:gridCol w:w="888"/>
        <w:gridCol w:w="890"/>
        <w:gridCol w:w="109"/>
        <w:gridCol w:w="109"/>
        <w:gridCol w:w="109"/>
        <w:gridCol w:w="299"/>
        <w:gridCol w:w="737"/>
        <w:gridCol w:w="168"/>
        <w:gridCol w:w="109"/>
        <w:gridCol w:w="109"/>
        <w:gridCol w:w="109"/>
        <w:gridCol w:w="310"/>
        <w:gridCol w:w="761"/>
        <w:gridCol w:w="174"/>
        <w:gridCol w:w="109"/>
        <w:gridCol w:w="109"/>
        <w:gridCol w:w="109"/>
        <w:gridCol w:w="497"/>
        <w:gridCol w:w="1184"/>
        <w:gridCol w:w="277"/>
        <w:gridCol w:w="109"/>
        <w:gridCol w:w="109"/>
        <w:gridCol w:w="109"/>
        <w:gridCol w:w="334"/>
        <w:gridCol w:w="823"/>
        <w:gridCol w:w="274"/>
      </w:tblGrid>
      <w:tr>
        <w:trPr/>
        <w:tc>
          <w:tcPr>
            <w:tcW w:w="12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Reclassification for 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 and Reclassified</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weighted-average shares of common stock outstanding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earnings (loss) per share attributable to Enviri Corporation common stockholders: </w:t>
            </w:r>
            <w:r>
              <w:rPr>
                <w:rFonts w:ascii="Times New Roman;serif" w:hAnsi="Times New Roman;serif"/>
                <w:b w:val="false"/>
                <w:color w:val="000000"/>
                <w:sz w:val="12"/>
              </w:rPr>
              <w:t>(a)</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6"/>
        <w:gridCol w:w="839"/>
        <w:gridCol w:w="842"/>
        <w:gridCol w:w="109"/>
        <w:gridCol w:w="109"/>
        <w:gridCol w:w="109"/>
        <w:gridCol w:w="245"/>
        <w:gridCol w:w="923"/>
        <w:gridCol w:w="136"/>
        <w:gridCol w:w="109"/>
        <w:gridCol w:w="109"/>
        <w:gridCol w:w="109"/>
        <w:gridCol w:w="282"/>
        <w:gridCol w:w="806"/>
        <w:gridCol w:w="158"/>
        <w:gridCol w:w="109"/>
        <w:gridCol w:w="109"/>
        <w:gridCol w:w="109"/>
        <w:gridCol w:w="363"/>
        <w:gridCol w:w="1397"/>
        <w:gridCol w:w="203"/>
        <w:gridCol w:w="109"/>
        <w:gridCol w:w="109"/>
        <w:gridCol w:w="109"/>
        <w:gridCol w:w="261"/>
        <w:gridCol w:w="983"/>
        <w:gridCol w:w="213"/>
      </w:tblGrid>
      <w:tr>
        <w:trPr/>
        <w:tc>
          <w:tcPr>
            <w:tcW w:w="12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Reclassification for 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 and Reclassified</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982,081 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(481,086)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500,568 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1,110,538 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(481,086)</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629,025 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(353,499)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1,087,074 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(432,531)</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655,560 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(48,555)</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(26,535)</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fees and debt-related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from continuing operations before income taxes and equity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(45,437)</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(54,438)</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income (loss) of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(56,920)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(50,041)</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(58,744)</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(54,566)</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(56,825)</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Amounts attributable to Enviri Corporation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(56,825)</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Weighted-average shares of common stock outstanding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1"/>
        <w:gridCol w:w="888"/>
        <w:gridCol w:w="890"/>
        <w:gridCol w:w="109"/>
        <w:gridCol w:w="109"/>
        <w:gridCol w:w="109"/>
        <w:gridCol w:w="299"/>
        <w:gridCol w:w="737"/>
        <w:gridCol w:w="168"/>
        <w:gridCol w:w="109"/>
        <w:gridCol w:w="109"/>
        <w:gridCol w:w="109"/>
        <w:gridCol w:w="316"/>
        <w:gridCol w:w="753"/>
        <w:gridCol w:w="176"/>
        <w:gridCol w:w="109"/>
        <w:gridCol w:w="109"/>
        <w:gridCol w:w="109"/>
        <w:gridCol w:w="497"/>
        <w:gridCol w:w="1184"/>
        <w:gridCol w:w="277"/>
        <w:gridCol w:w="109"/>
        <w:gridCol w:w="109"/>
        <w:gridCol w:w="109"/>
        <w:gridCol w:w="334"/>
        <w:gridCol w:w="823"/>
        <w:gridCol w:w="274"/>
      </w:tblGrid>
      <w:tr>
        <w:trPr/>
        <w:tc>
          <w:tcPr>
            <w:tcW w:w="12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Reclassification for 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 and Reclassified</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Basic earnings (loss) per share attributable to Enviri Corporation common stockholders: </w:t>
            </w:r>
            <w:r>
              <w:rPr>
                <w:rFonts w:ascii="Times New Roman;serif" w:hAnsi="Times New Roman;serif"/>
                <w:b w:val="false"/>
                <w:color w:val="000000"/>
                <w:sz w:val="12"/>
              </w:rPr>
              <w:t>(b)</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weighted-average shares of common stock outstanding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earnings (loss) per share attributable to Enviri Corporation common stockholders: </w:t>
            </w:r>
            <w:r>
              <w:rPr>
                <w:rFonts w:ascii="Times New Roman;serif" w:hAnsi="Times New Roman;serif"/>
                <w:b w:val="false"/>
                <w:color w:val="000000"/>
                <w:sz w:val="12"/>
              </w:rPr>
              <w:t>(b)</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 Weighted-average shares outstanding and earnings per share amounts for periods prior to the completion of the Transactions have been retrospectively adjusted to reflect the impact of the Transactions on the Company's capital structure.</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 Earnings (loss) per share attributable to Enviri Corporation common stockholders is calculated based on actual amounts. As a result, these per share amounts may not total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impact of revising the Condensed Consolidated Statements of Comprehensive Income (Loss) for the periods presented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5"/>
        <w:gridCol w:w="481"/>
        <w:gridCol w:w="482"/>
        <w:gridCol w:w="109"/>
        <w:gridCol w:w="109"/>
        <w:gridCol w:w="109"/>
        <w:gridCol w:w="218"/>
        <w:gridCol w:w="751"/>
        <w:gridCol w:w="121"/>
        <w:gridCol w:w="109"/>
        <w:gridCol w:w="109"/>
        <w:gridCol w:w="109"/>
        <w:gridCol w:w="251"/>
        <w:gridCol w:w="735"/>
        <w:gridCol w:w="141"/>
        <w:gridCol w:w="109"/>
        <w:gridCol w:w="109"/>
        <w:gridCol w:w="109"/>
        <w:gridCol w:w="196"/>
        <w:gridCol w:w="668"/>
        <w:gridCol w:w="109"/>
        <w:gridCol w:w="109"/>
        <w:gridCol w:w="109"/>
        <w:gridCol w:w="109"/>
        <w:gridCol w:w="218"/>
        <w:gridCol w:w="751"/>
        <w:gridCol w:w="121"/>
        <w:gridCol w:w="109"/>
        <w:gridCol w:w="109"/>
        <w:gridCol w:w="109"/>
        <w:gridCol w:w="255"/>
        <w:gridCol w:w="728"/>
        <w:gridCol w:w="143"/>
        <w:gridCol w:w="109"/>
        <w:gridCol w:w="109"/>
        <w:gridCol w:w="109"/>
        <w:gridCol w:w="196"/>
        <w:gridCol w:w="668"/>
        <w:gridCol w:w="165"/>
      </w:tblGrid>
      <w:tr>
        <w:trPr/>
        <w:tc>
          <w:tcPr>
            <w:tcW w:w="84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(54,566)</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liability adjustment, net of 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(36,516)</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(37,492)</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Enviri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(38,362)</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(43,407)</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(40,906)</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impact of revising the Condensed Consolidated Statements of Cash Flows for the period presented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8"/>
        <w:gridCol w:w="1059"/>
        <w:gridCol w:w="1063"/>
        <w:gridCol w:w="109"/>
        <w:gridCol w:w="109"/>
        <w:gridCol w:w="109"/>
        <w:gridCol w:w="239"/>
        <w:gridCol w:w="901"/>
        <w:gridCol w:w="133"/>
        <w:gridCol w:w="109"/>
        <w:gridCol w:w="109"/>
        <w:gridCol w:w="109"/>
        <w:gridCol w:w="277"/>
        <w:gridCol w:w="789"/>
        <w:gridCol w:w="155"/>
        <w:gridCol w:w="109"/>
        <w:gridCol w:w="109"/>
        <w:gridCol w:w="109"/>
        <w:gridCol w:w="440"/>
        <w:gridCol w:w="914"/>
        <w:gridCol w:w="246"/>
        <w:gridCol w:w="109"/>
        <w:gridCol w:w="109"/>
        <w:gridCol w:w="109"/>
        <w:gridCol w:w="253"/>
        <w:gridCol w:w="953"/>
        <w:gridCol w:w="207"/>
      </w:tblGrid>
      <w:tr>
        <w:trPr/>
        <w:tc>
          <w:tcPr>
            <w:tcW w:w="126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Reclassification Adjustment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 and Reclassified</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 and dispositions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plan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28,573 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(61,242)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(61,242)</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54,128 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including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including restricted cash and cash included in Current portion of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including restricted cash and cash included in Current portion of assets held-for-sale,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including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113,535 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113,535 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 Reclassifications have been made to conform with current year presentation.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impact of revising the Condensed Consolidated Statements of Equity for all periods presented are as follows:</w:t>
      </w:r>
    </w:p>
    <w:p>
      <w:pPr>
        <w:pStyle w:val="TextBody"/>
        <w:bidi w:val="0"/>
        <w:spacing w:before="0" w:after="0"/>
        <w:jc w:val="left"/>
        <w:rPr/>
      </w:pPr>
      <w:r>
        <w:rPr/>
      </w:r>
    </w:p>
    <w:tbl>
      <w:tblPr>
        <w:tblW w:w="12032" w:type="dxa"/>
        <w:jc w:val="left"/>
        <w:tblInd w:w="0" w:type="dxa"/>
        <w:tblLayout w:type="fixed"/>
        <w:tblCellMar>
          <w:top w:w="28" w:type="dxa"/>
          <w:left w:w="28" w:type="dxa"/>
          <w:bottom w:w="28" w:type="dxa"/>
          <w:right w:w="28" w:type="dxa"/>
        </w:tblCellMar>
      </w:tblPr>
      <w:tblGrid>
        <w:gridCol w:w="756"/>
        <w:gridCol w:w="664"/>
        <w:gridCol w:w="666"/>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247"/>
        <w:gridCol w:w="815"/>
        <w:gridCol w:w="139"/>
        <w:gridCol w:w="109"/>
        <w:gridCol w:w="109"/>
        <w:gridCol w:w="109"/>
        <w:gridCol w:w="196"/>
        <w:gridCol w:w="73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Enviri Corporation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449,599 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$2,487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284,643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performance share units, net 14,860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stock-based compensation,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(853,360)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448,687 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(46,549)</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$3,934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144,761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portion of 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(853,416)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417,831 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10922" w:type="dxa"/>
        <w:jc w:val="left"/>
        <w:tblInd w:w="0" w:type="dxa"/>
        <w:tblLayout w:type="fixed"/>
        <w:tblCellMar>
          <w:top w:w="28" w:type="dxa"/>
          <w:left w:w="28" w:type="dxa"/>
          <w:bottom w:w="28" w:type="dxa"/>
          <w:right w:w="28" w:type="dxa"/>
        </w:tblCellMar>
      </w:tblPr>
      <w:tblGrid>
        <w:gridCol w:w="756"/>
        <w:gridCol w:w="664"/>
        <w:gridCol w:w="666"/>
        <w:gridCol w:w="109"/>
        <w:gridCol w:w="109"/>
        <w:gridCol w:w="109"/>
        <w:gridCol w:w="196"/>
        <w:gridCol w:w="406"/>
        <w:gridCol w:w="109"/>
        <w:gridCol w:w="109"/>
        <w:gridCol w:w="109"/>
        <w:gridCol w:w="109"/>
        <w:gridCol w:w="211"/>
        <w:gridCol w:w="437"/>
        <w:gridCol w:w="118"/>
        <w:gridCol w:w="109"/>
        <w:gridCol w:w="109"/>
        <w:gridCol w:w="109"/>
        <w:gridCol w:w="240"/>
        <w:gridCol w:w="497"/>
        <w:gridCol w:w="134"/>
        <w:gridCol w:w="109"/>
        <w:gridCol w:w="109"/>
        <w:gridCol w:w="109"/>
        <w:gridCol w:w="196"/>
        <w:gridCol w:w="661"/>
        <w:gridCol w:w="109"/>
        <w:gridCol w:w="109"/>
        <w:gridCol w:w="109"/>
        <w:gridCol w:w="109"/>
        <w:gridCol w:w="232"/>
        <w:gridCol w:w="659"/>
        <w:gridCol w:w="130"/>
        <w:gridCol w:w="109"/>
        <w:gridCol w:w="109"/>
        <w:gridCol w:w="109"/>
        <w:gridCol w:w="331"/>
        <w:gridCol w:w="685"/>
        <w:gridCol w:w="185"/>
        <w:gridCol w:w="109"/>
        <w:gridCol w:w="109"/>
        <w:gridCol w:w="109"/>
        <w:gridCol w:w="196"/>
        <w:gridCol w:w="661"/>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Revision Adjustment</w:t>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Enviri Corporation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performance share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stock-based compensation,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portion of 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tbl>
      <w:tblPr>
        <w:tblW w:w="12032" w:type="dxa"/>
        <w:jc w:val="left"/>
        <w:tblInd w:w="0" w:type="dxa"/>
        <w:tblLayout w:type="fixed"/>
        <w:tblCellMar>
          <w:top w:w="28" w:type="dxa"/>
          <w:left w:w="28" w:type="dxa"/>
          <w:bottom w:w="28" w:type="dxa"/>
          <w:right w:w="28" w:type="dxa"/>
        </w:tblCellMar>
      </w:tblPr>
      <w:tblGrid>
        <w:gridCol w:w="756"/>
        <w:gridCol w:w="664"/>
        <w:gridCol w:w="666"/>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247"/>
        <w:gridCol w:w="815"/>
        <w:gridCol w:w="139"/>
        <w:gridCol w:w="109"/>
        <w:gridCol w:w="109"/>
        <w:gridCol w:w="109"/>
        <w:gridCol w:w="196"/>
        <w:gridCol w:w="73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Enviri Corporation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$2,487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284,643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performance share units, net 14,860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stock-based compensation,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(853,360)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(529,638)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(46,755)</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net of deferred income taxes of $3,934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other stock grants, net 144,761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unearned portion of 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(853,416)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(521,466)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cash flow forecasts, existing cash and cash equivalents and borrowings available under the Senior Secured Credit Facilities indicate sufficient liquidity to fund the Company’s operations for at least the next twelve months. As such, the Company’s unaudited Consolidated Financial Statements have been prepared on the basis that it will continue as a going concern for a period extending beyond twelve months from the date the unaudited Consolidated Financial Statements are issued. This assessment includes the expected ability to meet required financial covenants and the continued ability to draw down on the Senior Secured Credit Facilities (see Note 8, Debt and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Recently Adopted and Recently Issued Accounting Standards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accounting standards were adopted during the six months ended June 30, 2026: </w:t>
      </w:r>
    </w:p>
    <w:p>
      <w:pPr>
        <w:pStyle w:val="TextBody"/>
        <w:bidi w:val="0"/>
        <w:spacing w:before="6" w:after="283"/>
        <w:jc w:val="left"/>
        <w:rPr/>
      </w:pPr>
      <w:r>
        <w:rPr/>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The Company adopted a change issued by the FASB that provides an optional practical expedient for estimating future credit losses on current accounts receivable and current contract assets that arise from certain contracts with customers. The adoption of this change did not have a material impact on the Company's financial statements.</w:t>
      </w:r>
    </w:p>
    <w:p>
      <w:pPr>
        <w:pStyle w:val="TextBody"/>
        <w:bidi w:val="0"/>
        <w:spacing w:before="6" w:after="283"/>
        <w:jc w:val="left"/>
        <w:rPr/>
      </w:pPr>
      <w:r>
        <w:rPr/>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adopted changes issued by the FASB, which required greater disaggregation of income tax disclosures, related to the income tax rate reconciliation and income taxes paid for each annual reporting period. The Company applied the new disclosure requirements prospectively to its annual report for the year ended December 31, 2025. The adoption of these changes did not have a material impact on the Company's consolidated financial statements. </w:t>
      </w:r>
    </w:p>
    <w:p>
      <w:pPr>
        <w:pStyle w:val="TextBody"/>
        <w:bidi w:val="0"/>
        <w:spacing w:before="6" w:after="283"/>
        <w:jc w:val="left"/>
        <w:rPr/>
      </w:pPr>
      <w:r>
        <w:rPr/>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The following accounting standards have been issued and become effective for the Company at a future date:</w:t>
      </w:r>
    </w:p>
    <w:p>
      <w:pPr>
        <w:pStyle w:val="TextBody"/>
        <w:bidi w:val="0"/>
        <w:spacing w:before="6" w:after="283"/>
        <w:jc w:val="left"/>
        <w:rPr/>
      </w:pPr>
      <w:r>
        <w:rPr/>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In May 2026, the FASB issued an update that provides authoritative guidance on the recognition, measurement and presentation of environmental credits and compliance obligations that may be settled using environmental credits. This update defines environmental credit obligations and establishes recognition criteria, subsequent measurement and disclosure requirements. This guidance should be applied on a retrospective basis. This update becomes effective starting with the Company's annual financial statements for the year ended December 31, 2028 and includes the interim periods within each annual reporting period. Early adoption is permitted. The Company is currently evaluating the impact that this update will have on the Company's financial statements and disclosures.</w:t>
      </w:r>
    </w:p>
    <w:p>
      <w:pPr>
        <w:pStyle w:val="TextBody"/>
        <w:bidi w:val="0"/>
        <w:spacing w:before="6" w:after="283"/>
        <w:jc w:val="left"/>
        <w:rPr/>
      </w:pPr>
      <w:r>
        <w:rPr/>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an update that provides authoritative guidance on the recognition, measurement and presentation of government grants received by business entities. This update defines government grants and establishes recognition criteria and disclosure requirements. This update becomes effective starting with the Company's annual financial statements for the year ended December 31, 2028 and includes the interim periods within each annual reporting period. Early adoption is permitted. The Company is currently evaluating the impact that this update will have on the Company's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changes which require disaggregated disclosure of income statement expenses within the footnotes to the financial statement for each interim and annual reporting period. The changes become effective starting with the Company's annual financial statements for the year ended December 31, 2027 and will be in effect for the Company's interim financial statements after December 31, 2027. The guidance should be applied on a prospective basis with the option to apply the standard retrospectively. Early adoption is permitted. The Company is currently evaluating the impact that this change will have on the Company's disclosures.</w:t>
      </w:r>
    </w:p>
    <w:p>
      <w:pPr>
        <w:pStyle w:val="TextBody"/>
        <w:bidi w:val="0"/>
        <w:spacing w:before="6"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Contract Exits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Rail had been manufacturing engineered-to-order ("ETO") equipment under significant long-term, fixed-price contracts with Network Rail and Deutsche Bahn.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2026, the Company informed Network Rail that it had ceased all activities relating to its ETO contract to build stoneblower rail maintenance vehicles, and the associated manufacturing facilities have been closed. Also, in June 2026, the Company ceased all activities relating to its ETO contract to deliver utility track vehicles with Deutsche Bahn. As a result of these actions, the Company recorded a loss of $207.4 million during the quarter ended June 30, 2026, which includes the non-cash impairment charges of $40.5 million related to net contract assets, $21.5 million of inventory and $12.9 million of prepaid balances specific to the projects, as well as an estimated incremental liability of approximately $133 million to address future obligations related to these contracts. Of this loss, $136.5 million was recorded as a reduction to Product revenues - Rail contract exit-related adjustments and $70.9 million to Costs of products sold - Rail contract exit-related adjustments in the Condensed Consolidated Statements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2026, Network Rail notified the Company of its alleged breach under the contract and its intention to reach resolution of contractual damages as a result. The Company intends to vigorously contest any damages based on multiple available defenses. Additionally, the Company has proposed an alternative solution to assist Network Rail in significantly extending the life of their existing fleet of stoneblower machines. It is possible that the estimate of the loss could change based on ongoing discussions with Network Rail, or if the ultimate outcome to this matter were to be determined through litigation.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2026, the Company entered into a definitive agreement with Gleisbaumechanik Brandenburg GmbH ("GBM"), a manufacturing partner on the Deutsche Bahn contract, to sell all assets related to the contract, including inventory and intellectual property, to GBM.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Through the proceeds from the CE Holdings Note set aside in the Company's initial balance sheet subsequent to the closing of the Transactions, the Company has sufficient cash available to settle any cash payments required to exit these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Dispositions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above in Note 1, Basis of Presentation, the transactions contemplated by the Separation Agreement and the Merger Agreement were completed on June 1, 2026, which included the sale of Legacy Enviri's Clean Earth segment to Veolia for a total purchase price of $3.0 billion, subject to customary post-closing adjustments. Of the total purchase price, $1.3 billion of cash proceeds was paid directly to the stockholders of CE Holdings, the former stockholders of Legacy Enviri, and the remaining $1.7 billion was settled through the CE Holdings Note.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$1.3 billion of cash proceeds that was paid directly to the stockholders of CE Holdings is not recognized in the Condensed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CE's balance sheet positions as of December 31, 2025 are presented as Assets-held-for sale and Liabilities of assets held-for-sale in the Company's Condensed Consolidated Balance Sheets and are summarized as follows:</w:t>
      </w:r>
    </w:p>
    <w:p>
      <w:pPr>
        <w:pStyle w:val="TextBody"/>
        <w:bidi w:val="0"/>
        <w:spacing w:before="0" w:after="0"/>
        <w:jc w:val="left"/>
        <w:rPr/>
      </w:pPr>
      <w:r>
        <w:rPr/>
      </w:r>
    </w:p>
    <w:tbl>
      <w:tblPr>
        <w:tblW w:w="5358"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211"/>
        <w:gridCol w:w="97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6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assets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 Excludes Trade accounts receivable, net, since CE's balances were sold to PNC Bank, National Association ("PNC") as part of the AR Facility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 was historically reported as a separate reportable segment, with primary operations in the U.S. In accordance with U.S. GAAP, the results of CE are presented as discontinued operations and, as such, have been excluded from both continuing operations and segment results for the three and six months ended June 30, 2026 and 2025. Certain key selected financial information included in net income from discontinued operations for CE is as follows:</w:t>
      </w:r>
    </w:p>
    <w:p>
      <w:pPr>
        <w:pStyle w:val="TextBody"/>
        <w:bidi w:val="0"/>
        <w:spacing w:before="0" w:after="0"/>
        <w:jc w:val="left"/>
        <w:rPr/>
      </w:pPr>
      <w:r>
        <w:rPr/>
      </w:r>
    </w:p>
    <w:tbl>
      <w:tblPr>
        <w:tblW w:w="10121" w:type="dxa"/>
        <w:jc w:val="left"/>
        <w:tblInd w:w="0" w:type="dxa"/>
        <w:tblLayout w:type="fixed"/>
        <w:tblCellMar>
          <w:top w:w="28" w:type="dxa"/>
          <w:left w:w="28" w:type="dxa"/>
          <w:bottom w:w="28" w:type="dxa"/>
          <w:right w:w="28" w:type="dxa"/>
        </w:tblCellMar>
      </w:tblPr>
      <w:tblGrid>
        <w:gridCol w:w="1504"/>
        <w:gridCol w:w="1323"/>
        <w:gridCol w:w="1327"/>
        <w:gridCol w:w="109"/>
        <w:gridCol w:w="109"/>
        <w:gridCol w:w="109"/>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directly attributable to Clean Earth: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284,763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amounts allocated to Clean Earth: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Facility fees and debt-related income (expense)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The Company has allocated directly attributable transaction costs to Discontinued Operations, including accelerated stock compensation expense and retention payments for CE employees.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Primarily includes fees related to the AR Facility. The 2026 amounts also include the write-off of deferred financing costs of $5.6 million and Credit Facility amendment refinancing fees of $0.2 million.</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has retained corporate overhead expenses previously allocated to CE of $1.3 million and $1.9 million for the three months ended June 30, 2026 and 2025, respectively, and $3.2 million</w:t>
      </w:r>
      <w:r>
        <w:rPr>
          <w:color w:val="000000"/>
        </w:rPr>
        <w:t xml:space="preserve"> </w:t>
      </w:r>
      <w:r>
        <w:rPr>
          <w:rFonts w:ascii="Times New Roman;serif" w:hAnsi="Times New Roman;serif"/>
          <w:b w:val="false"/>
          <w:color w:val="000000"/>
          <w:sz w:val="20"/>
        </w:rPr>
        <w:t xml:space="preserve">and $3.9 million for the six months ended June 30, 2026 and 2025, respectively, as part of Selling, general and administrative expenses on the Company's Condensed Consolidated Statements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selected financial information included on the Company's Condensed Consolidated Statements of Cash Flows attributable to CE:</w:t>
      </w:r>
    </w:p>
    <w:p>
      <w:pPr>
        <w:pStyle w:val="TextBody"/>
        <w:bidi w:val="0"/>
        <w:spacing w:before="0" w:after="0"/>
        <w:jc w:val="left"/>
        <w:rPr/>
      </w:pPr>
      <w:r>
        <w:rPr/>
      </w:r>
    </w:p>
    <w:tbl>
      <w:tblPr>
        <w:tblW w:w="6876" w:type="dxa"/>
        <w:jc w:val="left"/>
        <w:tblInd w:w="0" w:type="dxa"/>
        <w:tblLayout w:type="fixed"/>
        <w:tblCellMar>
          <w:top w:w="28" w:type="dxa"/>
          <w:left w:w="28" w:type="dxa"/>
          <w:bottom w:w="28" w:type="dxa"/>
          <w:right w:w="28" w:type="dxa"/>
        </w:tblCellMar>
      </w:tblPr>
      <w:tblGrid>
        <w:gridCol w:w="1477"/>
        <w:gridCol w:w="1300"/>
        <w:gridCol w:w="1303"/>
        <w:gridCol w:w="109"/>
        <w:gridCol w:w="109"/>
        <w:gridCol w:w="109"/>
        <w:gridCol w:w="211"/>
        <w:gridCol w:w="736"/>
        <w:gridCol w:w="109"/>
        <w:gridCol w:w="109"/>
        <w:gridCol w:w="109"/>
        <w:gridCol w:w="109"/>
        <w:gridCol w:w="211"/>
        <w:gridCol w:w="72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 (non-cash)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Trade Accounts Receivables and Other Receivables</w:t>
      </w:r>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Accounts receivable consist of the following:</w:t>
      </w:r>
    </w:p>
    <w:tbl>
      <w:tblPr>
        <w:tblW w:w="6591" w:type="dxa"/>
        <w:jc w:val="left"/>
        <w:tblInd w:w="0" w:type="dxa"/>
        <w:tblLayout w:type="fixed"/>
        <w:tblCellMar>
          <w:top w:w="28" w:type="dxa"/>
          <w:left w:w="28" w:type="dxa"/>
          <w:bottom w:w="28" w:type="dxa"/>
          <w:right w:w="28" w:type="dxa"/>
        </w:tblCellMar>
      </w:tblPr>
      <w:tblGrid>
        <w:gridCol w:w="1295"/>
        <w:gridCol w:w="1144"/>
        <w:gridCol w:w="1146"/>
        <w:gridCol w:w="109"/>
        <w:gridCol w:w="109"/>
        <w:gridCol w:w="109"/>
        <w:gridCol w:w="211"/>
        <w:gridCol w:w="841"/>
        <w:gridCol w:w="109"/>
        <w:gridCol w:w="109"/>
        <w:gridCol w:w="109"/>
        <w:gridCol w:w="109"/>
        <w:gridCol w:w="211"/>
        <w:gridCol w:w="826"/>
        <w:gridCol w:w="154"/>
      </w:tblGrid>
      <w:tr>
        <w:trPr/>
        <w:tc>
          <w:tcPr>
            <w:tcW w:w="129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259,516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Allowance for expected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249,730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receivables </w:t>
            </w: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28,938</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43,627 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 Other receivables include employee receivables, insurance receivable, tax claims and refunds and other miscellaneous items not included in Trade accounts receivable, net.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provision for expected credit losses related to trade accounts receivable was as follows:</w:t>
      </w:r>
    </w:p>
    <w:p>
      <w:pPr>
        <w:pStyle w:val="TextBody"/>
        <w:bidi w:val="0"/>
        <w:spacing w:before="0" w:after="0"/>
        <w:jc w:val="left"/>
        <w:rPr/>
      </w:pPr>
      <w:r>
        <w:rPr/>
      </w:r>
    </w:p>
    <w:tbl>
      <w:tblPr>
        <w:tblW w:w="8787" w:type="dxa"/>
        <w:jc w:val="left"/>
        <w:tblInd w:w="0" w:type="dxa"/>
        <w:tblLayout w:type="fixed"/>
        <w:tblCellMar>
          <w:top w:w="28" w:type="dxa"/>
          <w:left w:w="28" w:type="dxa"/>
          <w:bottom w:w="28" w:type="dxa"/>
          <w:right w:w="28" w:type="dxa"/>
        </w:tblCellMar>
      </w:tblPr>
      <w:tblGrid>
        <w:gridCol w:w="1417"/>
        <w:gridCol w:w="1247"/>
        <w:gridCol w:w="1251"/>
        <w:gridCol w:w="109"/>
        <w:gridCol w:w="109"/>
        <w:gridCol w:w="109"/>
        <w:gridCol w:w="211"/>
        <w:gridCol w:w="376"/>
        <w:gridCol w:w="109"/>
        <w:gridCol w:w="109"/>
        <w:gridCol w:w="109"/>
        <w:gridCol w:w="109"/>
        <w:gridCol w:w="211"/>
        <w:gridCol w:w="691"/>
        <w:gridCol w:w="109"/>
        <w:gridCol w:w="109"/>
        <w:gridCol w:w="109"/>
        <w:gridCol w:w="109"/>
        <w:gridCol w:w="211"/>
        <w:gridCol w:w="481"/>
        <w:gridCol w:w="109"/>
        <w:gridCol w:w="109"/>
        <w:gridCol w:w="109"/>
        <w:gridCol w:w="109"/>
        <w:gridCol w:w="211"/>
        <w:gridCol w:w="691"/>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provision for expected credit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$7.1 million of the Company's trade accounts receivable were past due by twelve months or more, with $5.7 million of this amount reserved. The change in provision for credit losses for the three and six months ended June 30, 2025 included the recovery of $2.2 million of a previously reserved balance for an HE customer who became insolvent in the fourth quarter of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Accounts Receivable Securitization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2022, the Company and its SPE entered into an AR Facility with PNC to accelerate cash flows from trade accounts receivable. On October 1, 2024, the Company renewed the AR Facility for a three-year term expiring in October 2027. The maximum purchase commitment by PNC was $160.0 million, as amended in February 2025. On June 1, 2026, the AR Facility was terminated in connection with the Transactions and the full balance of $160.0 million was repurchased from PNC, which is reflected in Accounts receivable on the Condensed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termination of the AR Facility, the total outstanding balance of trade receivables that have been sold and derecognized by the SPE was $160.0 million as of December 31, 2025. The SPE owned $47.5 million of trade receivables as of December 31, 2025 which was included in the caption Trade accounts receivable, net, on the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proceeds were received from the AR Facility during the six months ended June 30, 2026. The Company received proceeds of $10.0 million during the six months ended June 30, 2025.</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Factoring Arrangements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factoring arrangements with a financial institution to sell certain accounts receivable that are also accounted for as a sale of financial assets. The following table reflects balances for net amounts sold and program capacities for the arrangements:</w:t>
      </w:r>
    </w:p>
    <w:tbl>
      <w:tblPr>
        <w:tblW w:w="6538" w:type="dxa"/>
        <w:jc w:val="left"/>
        <w:tblInd w:w="0" w:type="dxa"/>
        <w:tblLayout w:type="fixed"/>
        <w:tblCellMar>
          <w:top w:w="28" w:type="dxa"/>
          <w:left w:w="28" w:type="dxa"/>
          <w:bottom w:w="28" w:type="dxa"/>
          <w:right w:w="28" w:type="dxa"/>
        </w:tblCellMar>
      </w:tblPr>
      <w:tblGrid>
        <w:gridCol w:w="1425"/>
        <w:gridCol w:w="1251"/>
        <w:gridCol w:w="1268"/>
        <w:gridCol w:w="109"/>
        <w:gridCol w:w="109"/>
        <w:gridCol w:w="109"/>
        <w:gridCol w:w="211"/>
        <w:gridCol w:w="526"/>
        <w:gridCol w:w="109"/>
        <w:gridCol w:w="109"/>
        <w:gridCol w:w="109"/>
        <w:gridCol w:w="109"/>
        <w:gridCol w:w="263"/>
        <w:gridCol w:w="639"/>
        <w:gridCol w:w="192"/>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sold under factoring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capacities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w:t>
      </w:r>
    </w:p>
    <w:tbl>
      <w:tblPr>
        <w:tblW w:w="6111"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11"/>
        <w:gridCol w:w="841"/>
        <w:gridCol w:w="109"/>
        <w:gridCol w:w="109"/>
        <w:gridCol w:w="109"/>
        <w:gridCol w:w="109"/>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Raw materials and purchased parts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134,094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Decrease during the six months ended June 30, 2026 includes the impairment of inventories as a result of the Company's decision to exit certain Rail contracts. See Note 3, Contract Exits for additional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Property, Plant and Equipment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w:t>
      </w:r>
    </w:p>
    <w:tbl>
      <w:tblPr>
        <w:tblW w:w="6094" w:type="dxa"/>
        <w:jc w:val="left"/>
        <w:tblInd w:w="0" w:type="dxa"/>
        <w:tblLayout w:type="fixed"/>
        <w:tblCellMar>
          <w:top w:w="28" w:type="dxa"/>
          <w:left w:w="28" w:type="dxa"/>
          <w:bottom w:w="28" w:type="dxa"/>
          <w:right w:w="28" w:type="dxa"/>
        </w:tblCellMar>
      </w:tblPr>
      <w:tblGrid>
        <w:gridCol w:w="1114"/>
        <w:gridCol w:w="978"/>
        <w:gridCol w:w="983"/>
        <w:gridCol w:w="109"/>
        <w:gridCol w:w="109"/>
        <w:gridCol w:w="109"/>
        <w:gridCol w:w="211"/>
        <w:gridCol w:w="841"/>
        <w:gridCol w:w="109"/>
        <w:gridCol w:w="109"/>
        <w:gridCol w:w="109"/>
        <w:gridCol w:w="109"/>
        <w:gridCol w:w="213"/>
        <w:gridCol w:w="837"/>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1,461,842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Uncompleted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1,681,619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(1,276,225)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405,394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8726" w:type="dxa"/>
        <w:jc w:val="center"/>
        <w:tblInd w:w="0" w:type="dxa"/>
        <w:tblLayout w:type="fixed"/>
        <w:tblCellMar>
          <w:top w:w="28" w:type="dxa"/>
          <w:left w:w="28" w:type="dxa"/>
          <w:bottom w:w="28" w:type="dxa"/>
          <w:right w:w="28" w:type="dxa"/>
        </w:tblCellMar>
      </w:tblPr>
      <w:tblGrid>
        <w:gridCol w:w="1150"/>
        <w:gridCol w:w="1013"/>
        <w:gridCol w:w="1016"/>
        <w:gridCol w:w="109"/>
        <w:gridCol w:w="109"/>
        <w:gridCol w:w="109"/>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Variable and short-term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Previously issued 2025 amounts have been revised due to the correction of immaterial errors, as identified in Note 1, Basis of Presentation under "Revision of Previously Issued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Goodwill and Other Intangible Assets</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tests for goodwill impairment annually, or more frequently if indicators of impairment exist, or if a decision is made to dispose of a business. The Company performs its annual goodwill impairment test as of October 1 and monitors for triggering events on an ongoing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determined that there were no events or indicators present that would indicate that it was more-likely-than-not that its reporting unit's fair value was less than its carrying amount, which would require a further interim impairment analysis. However, unfavorable economic conditions, including continued cost inflation, could impact the Company's future projected cash flows and discount rates used to estimate fair value, which could result in an impairment charge to the Company's reporting unit in a future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10. Debt and Credit Agreements</w:t>
      </w:r>
    </w:p>
    <w:p>
      <w:pPr>
        <w:pStyle w:val="TextBody"/>
        <w:bidi w:val="0"/>
        <w:spacing w:lineRule="auto" w:line="268" w:before="160" w:after="16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8991" w:type="dxa"/>
        <w:jc w:val="left"/>
        <w:tblInd w:w="0" w:type="dxa"/>
        <w:tblLayout w:type="fixed"/>
        <w:tblCellMar>
          <w:top w:w="28" w:type="dxa"/>
          <w:left w:w="28" w:type="dxa"/>
          <w:bottom w:w="28" w:type="dxa"/>
          <w:right w:w="28" w:type="dxa"/>
        </w:tblCellMar>
      </w:tblPr>
      <w:tblGrid>
        <w:gridCol w:w="2109"/>
        <w:gridCol w:w="1860"/>
        <w:gridCol w:w="1866"/>
        <w:gridCol w:w="109"/>
        <w:gridCol w:w="109"/>
        <w:gridCol w:w="109"/>
        <w:gridCol w:w="211"/>
        <w:gridCol w:w="841"/>
        <w:gridCol w:w="109"/>
        <w:gridCol w:w="109"/>
        <w:gridCol w:w="109"/>
        <w:gridCol w:w="109"/>
        <w:gridCol w:w="211"/>
        <w:gridCol w:w="976"/>
        <w:gridCol w:w="154"/>
      </w:tblGrid>
      <w:tr>
        <w:trPr/>
        <w:tc>
          <w:tcPr>
            <w:tcW w:w="210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payable (including finance leases) in varying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392,662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obligations,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389,008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380,539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in connection with the completion of the Transactions, the Company repaid $1.2 billion of its outstanding total debt balance, which included the repayment of $628.0 million of borrowings previously outstanding under the Revolving Credit Facility, partial repayment of $105.6 million of the Term Loan and the $475.0 million redemption of the Senior Notes. As a result of these repayments, the Company expensed $3.7 million of previously deferred financing costs pertaining to the Senior Secured Credit Facilities and $1.5 million of previously deferred costs pertaining to the Senior Notes, which are included in Income (loss) from discontinued operations on the Company's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Senior Secured Credit Facilities to extend the maturity date of its $50.0 million non-extended revolving credit facility from March 10, 2026 to the earlier of (i) July 1, 2026 and (ii) the date on which the Company's Clean Earth segment is sold to Veolia in connection with the Company's Merger Agreement. As described above, the sale of Clean Earth was completed on June 1, 2026 and, as a result, the $50.0 million portion of the non-extended revolving credit facility was repaid on June 1, 2026. The capacity on the Revolving Credit Facility was reduced to $152.0 million and as a result the Company expensed $2.8 million of previously deferred costs, which are included in the preceding paragraph.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entered into an amendment to the Credit Agreement to, among other things, modify certain levels of its total Net Debt to Consolidated Adjusted EBITDA ratio covenant and permit a distribution of CE, together with certain related transactions, including repayments of certain of the Company's existing indebtedness. The Company obtained the amendment because its forward-looking projections indicated that it may not meet the minimum level required by the net leverage coverage ratio and to allow for the strategic alternatives the Company was evaluating at that time. As a result of this amendment and the distribution of CE, the total Net Debt to Consolidated Adjusted EBITDA ratio covenant was set to 3.00x for the quarter ended June 30, 2026 and for each quarter thereafter. The Company expects that it will maintain compliance with the amended covenants based on current forecasts. The Interest Coverage Ratio remained at 2.50x. The Company capitalized $1.8 million of fees incurred related to the amendment.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an amendment to the Credit Agreement to reset the levels of its covenants, among other changes. As a result of this amendment, the Interest Coverage Ratio was set to a minimum of 2.50x for each quarter ended after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as calculated pursuant to the Credit Agreement, the Company was in compliance with all covenants for its Senior Secured Credit Facilities, as the total Net Debt to Consolidated Adjusted EBITDA ratio was 1.94x and the total Interest Coverage Ratio was 4.60x. Based on balances and covenants in effect at June 30, 2026, the Company could increase Net Debt by $160.5 million and still be in compliance with these debt covenants. Alternatively, Consolidated Adjusted EBITDA could decrease by $53.5 million or interest expense could increase by $27.6 million and the Company would remain in compliance with these covenants.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it will continue to maintain compliance with these covenants based on its current outlook. However, the Company's estimates of compliance with these covenants could change in the future with a deterioration in economic conditions including softness in certain markets, higher than forecasted interest rate increases, the timing of working capital including the collection of receivables, an inability to realize increased pricing and implement cost reduction initiatives that mitigate the impacts of inflation and other factors that may adversely impact its compliance with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imposes certain restrictions including, but not limited to, restrictions as to types and amounts of debt of liens that may be incurred by the Company; limitations on increases in dividend payments; limitations on repurchases of the Company’s stock and limitations on certain acquisitions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the Senior Secured Credit Facilities, the obligations of the Company are guaranteed by substantially all of the Company’s current and future wholly-owned domestic subsidiaries (“Guarantors”). All obligations under the Senior Credit Facility, and the guarantees of those obligations, are secured, subject to certain exceptions, by substantially all of the Company’s assets and the assets of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certain mandatory prepayments of the Term Loan, subject to certain exceptions, based on net cash proceeds of certain sales or distributions of assets, as well as certain casualty and condemnation events, in some cases subject to reinvestment rights and certain other exceptions; net cash proceeds of any issuance of debt, excluding permitted debt issuances; and a percentage of excess cash flow, as defined by the Credit Agreement, during a fiscal year.</w:t>
      </w:r>
    </w:p>
    <w:p>
      <w:pPr>
        <w:pStyle w:val="TextBody"/>
        <w:bidi w:val="0"/>
        <w:spacing w:before="0" w:after="0"/>
        <w:jc w:val="left"/>
        <w:rPr/>
      </w:pPr>
      <w:r>
        <w:rPr/>
      </w:r>
    </w:p>
    <w:p>
      <w:pPr>
        <w:pStyle w:val="TextBody"/>
        <w:bidi w:val="0"/>
        <w:spacing w:lineRule="auto" w:line="268" w:before="160" w:after="160"/>
        <w:jc w:val="left"/>
        <w:rPr>
          <w:rFonts w:ascii="Times New Roman;serif" w:hAnsi="Times New Roman;serif"/>
          <w:b/>
          <w:color w:val="000000"/>
          <w:sz w:val="20"/>
        </w:rPr>
      </w:pPr>
      <w:r>
        <w:rPr>
          <w:rFonts w:ascii="Times New Roman;serif" w:hAnsi="Times New Roman;serif"/>
          <w:b/>
          <w:color w:val="000000"/>
          <w:sz w:val="20"/>
        </w:rPr>
        <w:t>Facility Fees and Debt-Related Income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the Condensed Consolidated Statements of Operations caption Facility fees and debt-related income (expense) were as follows:</w:t>
      </w:r>
    </w:p>
    <w:tbl>
      <w:tblPr>
        <w:tblW w:w="8741" w:type="dxa"/>
        <w:jc w:val="left"/>
        <w:tblInd w:w="0" w:type="dxa"/>
        <w:tblLayout w:type="fixed"/>
        <w:tblCellMar>
          <w:top w:w="28" w:type="dxa"/>
          <w:left w:w="28" w:type="dxa"/>
          <w:bottom w:w="28" w:type="dxa"/>
          <w:right w:w="28" w:type="dxa"/>
        </w:tblCellMar>
      </w:tblPr>
      <w:tblGrid>
        <w:gridCol w:w="1425"/>
        <w:gridCol w:w="1257"/>
        <w:gridCol w:w="1262"/>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debt commitment and amendment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fees and debt-related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Employee Benefit Plans*</w:t>
      </w:r>
    </w:p>
    <w:tbl>
      <w:tblPr>
        <w:tblW w:w="10134" w:type="dxa"/>
        <w:jc w:val="left"/>
        <w:tblInd w:w="0" w:type="dxa"/>
        <w:tblLayout w:type="fixed"/>
        <w:tblCellMar>
          <w:top w:w="28" w:type="dxa"/>
          <w:left w:w="28" w:type="dxa"/>
          <w:bottom w:w="28" w:type="dxa"/>
          <w:right w:w="28" w:type="dxa"/>
        </w:tblCellMar>
      </w:tblPr>
      <w:tblGrid>
        <w:gridCol w:w="1917"/>
        <w:gridCol w:w="1686"/>
        <w:gridCol w:w="1691"/>
        <w:gridCol w:w="109"/>
        <w:gridCol w:w="109"/>
        <w:gridCol w:w="109"/>
        <w:gridCol w:w="211"/>
        <w:gridCol w:w="481"/>
        <w:gridCol w:w="109"/>
        <w:gridCol w:w="109"/>
        <w:gridCol w:w="109"/>
        <w:gridCol w:w="109"/>
        <w:gridCol w:w="215"/>
        <w:gridCol w:w="475"/>
        <w:gridCol w:w="109"/>
        <w:gridCol w:w="109"/>
        <w:gridCol w:w="109"/>
        <w:gridCol w:w="109"/>
        <w:gridCol w:w="211"/>
        <w:gridCol w:w="631"/>
        <w:gridCol w:w="109"/>
        <w:gridCol w:w="109"/>
        <w:gridCol w:w="109"/>
        <w:gridCol w:w="109"/>
        <w:gridCol w:w="211"/>
        <w:gridCol w:w="61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Defined Benefit Pension Plan Net Periodic Pension Cost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Plans</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net periodic pension cost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55"/>
        <w:gridCol w:w="1632"/>
        <w:gridCol w:w="1635"/>
        <w:gridCol w:w="109"/>
        <w:gridCol w:w="109"/>
        <w:gridCol w:w="109"/>
        <w:gridCol w:w="211"/>
        <w:gridCol w:w="481"/>
        <w:gridCol w:w="109"/>
        <w:gridCol w:w="109"/>
        <w:gridCol w:w="109"/>
        <w:gridCol w:w="109"/>
        <w:gridCol w:w="211"/>
        <w:gridCol w:w="616"/>
        <w:gridCol w:w="109"/>
        <w:gridCol w:w="109"/>
        <w:gridCol w:w="109"/>
        <w:gridCol w:w="109"/>
        <w:gridCol w:w="211"/>
        <w:gridCol w:w="631"/>
        <w:gridCol w:w="109"/>
        <w:gridCol w:w="109"/>
        <w:gridCol w:w="109"/>
        <w:gridCol w:w="109"/>
        <w:gridCol w:w="211"/>
        <w:gridCol w:w="721"/>
        <w:gridCol w:w="155"/>
      </w:tblGrid>
      <w:tr>
        <w:trPr/>
        <w:tc>
          <w:tcPr>
            <w:tcW w:w="185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Defined Benefit Pension Plans Net Periodic Pension Cost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Plans</w:t>
            </w:r>
          </w:p>
        </w:tc>
      </w:tr>
      <w:tr>
        <w:trPr/>
        <w:tc>
          <w:tcPr>
            <w:tcW w:w="5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 net periodic pension cost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contributions to U.S. and international defined benefit pension plans totaled $0.8 million and $0.4 million for the six months ended June 30, 2026, respectively. The Company's estimate of expected cash contributions to be paid during the remainder of 2026 for the U.S. and international defined benefit pension plans is $0.8 million and $0.4 million,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Previously issued 2025 amounts have been revised due to the correction of immaterial errors, as identified in Note 1, Basis of Presentation under "Revision of Previously Issued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from continuing operations for the three and six months ended June 30, 2026 was $40.5 million and $45.7 million, respectively, compared with $0.9 million and $4.3 million income tax benefit for the three and six months ended June 30, 2025, respectively. The change is primarily due to $34.0 million tax expense related to the valuation allowance establishment of prior year deferred tax assets in the U.S. as a result of the CE divestiture during the three and six months ended June 30, 2026, which did not occur during the three and six months ended June 30, 2025. In addition, no tax benefit was recorded on the total net loss of $207.4 million recognized during the three and six months ended June 30, 2026 related to the Company's decision to exit its contracts with Network Rail and Deutsche Bahn, as well as on the costs of $28.3 million and $29.7 million incurred during the three and six months ended June 30, 2026, respectively, related to the Transactions.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reserve for uncertain tax positions on June 30, 2026 and December 31, 2025 was</w:t>
      </w:r>
      <w:r>
        <w:rPr>
          <w:color w:val="EE2724"/>
        </w:rPr>
        <w:t xml:space="preserve"> </w:t>
      </w:r>
      <w:r>
        <w:rPr>
          <w:rFonts w:ascii="Times New Roman;serif" w:hAnsi="Times New Roman;serif"/>
          <w:b w:val="false"/>
          <w:color w:val="000000"/>
          <w:sz w:val="20"/>
        </w:rPr>
        <w:t xml:space="preserve">$6.0 million and $6.7 million, respectively, including interest and penalties. Within the next twelve months, it is reasonably possible that $2.0 million in unrecognized income tax benefits will be recognized upon settlement of tax examinations and the expiration of various statutes of limitations.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Previously issued 2025 amounts have been revised due to the correction of immaterial errors, as identified in Note 1, Basis of Presentation under "Revision of Previously Issued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Environmental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number of environmental remediation investigations and cleanups and, along with other companies, has been identified as a potentially responsible party ("PRP") for certain byproduct disposal sites. While each of these matters is subject to various uncertainties, it is probable that the Company will agree to make payments toward funding certain of these activities, and it is possible that some of these matters will be decided unfavorably to the Company. The Company has evaluated its potential liability and its financial exposure is dependent upon such factors as the continuing evolution of environmental laws and regulatory requirements, the availability and application of technology, the allocation of cost among potentially responsible parties, the years of remedial activity required and the remediation methods selected.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evaluates its liability for future environmental remediation costs on a quarterly basis. Although actual costs to be incurred at identified sites in future periods may vary from the estimates, given inherent uncertainties in evaluating environmental exposures, the Company does not expect that any costs that are reasonably possible to be incurred by the Company in connection with environmental matters in excess of the amounts accrued would have a material adverse effect on the Company's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related to the location and undiscounted amount of the Company's environmental liabilities:</w:t>
      </w:r>
    </w:p>
    <w:p>
      <w:pPr>
        <w:pStyle w:val="TextBody"/>
        <w:bidi w:val="0"/>
        <w:spacing w:before="0" w:after="0"/>
        <w:jc w:val="left"/>
        <w:rPr/>
      </w:pPr>
      <w:r>
        <w:rPr/>
      </w:r>
    </w:p>
    <w:tbl>
      <w:tblPr>
        <w:tblW w:w="6688" w:type="dxa"/>
        <w:jc w:val="left"/>
        <w:tblInd w:w="0" w:type="dxa"/>
        <w:tblLayout w:type="fixed"/>
        <w:tblCellMar>
          <w:top w:w="28" w:type="dxa"/>
          <w:left w:w="28" w:type="dxa"/>
          <w:bottom w:w="28" w:type="dxa"/>
          <w:right w:w="28" w:type="dxa"/>
        </w:tblCellMar>
      </w:tblPr>
      <w:tblGrid>
        <w:gridCol w:w="1407"/>
        <w:gridCol w:w="1234"/>
        <w:gridCol w:w="1243"/>
        <w:gridCol w:w="109"/>
        <w:gridCol w:w="109"/>
        <w:gridCol w:w="109"/>
        <w:gridCol w:w="211"/>
        <w:gridCol w:w="736"/>
        <w:gridCol w:w="109"/>
        <w:gridCol w:w="109"/>
        <w:gridCol w:w="109"/>
        <w:gridCol w:w="109"/>
        <w:gridCol w:w="212"/>
        <w:gridCol w:w="727"/>
        <w:gridCol w:w="155"/>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portion of environmental liabilities </w:t>
            </w: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environmental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The current portion of environmental liabilities is included in the caption Other current liabilities on the Condensed Consolidated Balance Sheets.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is a defendant or party to various claims and lawsuits, including those discussed below. Unless stated otherwise below, the Company has not determined a loss to be probable or estimable for the legal proceedings.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2020, the EPA issued a Notice of Potential Liability to the Company, along with several other companies, concerning the Newtown Creek Superfund Site located in Kings and Queens Counties in New York, which alleges certain facilities formerly owned or operated by subsidiaries of the Company may have resulted in the discharge of hazardous substances into Newtown Creek or its Dutch Kills tributary. The site has been subject to CERCLA response activities since approximately 2011. The EPA expects to issue a Record of Decision for the sitewide cleanup plan no sooner than 2028 and announced, in July 2021, that it would defer its decision on a potential early action response for the lower two miles of the Creek until the site-wide studies are completed. On August 28, 2024, the EPA released a proposed plan for clean up of the East Branch portion of Newtown Creek. On January 17, 2025, the EPA released its decision approving this early action remedy for the East Branch. The Company is one of 30 PRPs that have received notices, though it is believed other PRPs may exist. The Company vigorously contests the allegations of this notice and currently does not believe that this matter will have a material effect on the Company’s condensed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had ongoing meetings with the SCE over processing salt cakes, a processing byproduct, stored at the Al Hafeerah site. The Company’s Bahrain operations that produced the salt cakes have ceased operations. An Environmental Impact Assessment and Technical Feasibility Study for facilities to process the salt cakes was approved by the SCE during the first quarter of 2018. Commissioning of the facilities was completed during the third quarter of 2021 and the processing of the salt cakes has commenced, with the expectation that the Company would be able to sell the products that resulted from the processing in an amount that would cover the processing costs. During the fourth quarter of 2024, the Company concluded that, despite significant commercial efforts and ongoing discussions with the SCE, it could not sufficiently recover the processing costs from these sales as it had previously estimated and, as such, recorded an additional provision of $27.2 million. During the fourth quarter of 2025, the Company recorded an additional provision of $5.0 million based on the current expected recovery of the processing costs, including the agreement to sell a significant quantity of processed material to a regional buyer. The Company is currently exploring other options to resolve this matter in a cost-effective manner, including engaging certain entities to remove the remaining salt cakes from Bahrain, subject to a suitability analysis. The Company's current reserve of $26.5 million at June 30, 2026 represents the Company's best estimate of the net costs to fully resolve this matter. The Company will continue to evaluate this reserve and any future change in estimated costs which could be material to the Company’s results of operations in any single period.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On July 27, 2018, Brazil’s Federal and Rio de Janeiro State Public Prosecution Offices (the "MPF" and "MPE", respectively) filed a Civil Public Action against CSN, one of the Company's customers, the Company’s Brazilian subsidiary, the Municipality of Volta Redonda, Brazil, and the Instituto Estadual do Ambiente, the state of Rio de Janeiro's environmental protection agency, seeking the implementation of various measures to limit and reduce the accumulation of customer-owned slag at the site in Brazil. On August 6, 2018, the 3rd Federal Court in Volta Redonda (the "3rd Volta Redonda Court") granted the MPF and MPE an injunction against the defendants requiring, among other things, CSN and the Company’s Brazilian subsidiary to limit the volume of slag sent to the site. Because the customer owns the site and the slag located on the site, the Company believes that complying with this injunction is the steel producer’s responsibility. Nevertheless, the 3rd Volta Redonda Court issued two orders fining the Company and CSN for what it viewed as violations of the injunction. The Company appealed the fines and the underlying injunction and, beginning on March 25, 2022, the 3rd Volta Redonda Court entered a series of orders suspending the litigation proceedings and staying any additional fines and interest accruals while the parties discuss a possible resolution to the matter. The aggregate amount of fines levied against the Company, exclusive of interest, is approximately 32 million Brazilian reais (or approximately $6 million as of June 30, 2026). On October 5, 2024, the 3rd Volta Redonda Court determined that, as of August 1, 2024, the Company was not responsible for complying with the injunction because the Company no longer operates at the site. In May 2025, the authorities issued a settlement proposal in which CSN would perform remediation at the site and pay approximately 264 million Brazilian reais (or approximately $51 million as of June 30, 2026) and the Company would pay approximately 66 million Brazilian reais (or approximately $13 million as of June 30, 2026) for alleged environmental damage. The Company disputes that environmental damage was caused by the accumulation of slag and, as such, does not agree with the proposed payment. The Company and the other parties continue to discuss a potential resolution related to the portion of the authorities' claims that allegedly occurred prior to August 1, 2024. On September 30, 2025, the public prosecutors pursuing the Civil Public Action initiated a criminal proceeding before the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Federal Court in Volta Redonda (the "2nd Volta Redonda Court") against CSN and the Company and is seeking 431 million Brazilian reais (or approximately $83 million as of June 30, 2026) from the two companies. A majority of the amount sought in this proceeding is identical to, and overlaps with, the damages sought in the Civil Public Action. The 2nd Volta Redonda Court has accepted the complaint from the public prosecutors, and both CSN and the Company submitted their respective defenses in January 2026. The Company denies that any environmental damage occurred and will defend itself vigorously. Because of multiple defenses available, including that the slag is inert and not harmful to the environment, and that the slag deposits do not belong to it, the Company does not believe that a loss relating to this matter is probable.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2021, the Company received a subpoena and two indictments before the Amsterdam District Court in the Netherlands concerning the Company's operations at a customer site in Ijmuiden, Netherlands. The Amsterdam Public Prosecutor’s Office ("APPO") issued two indictments against the Company, alleging violations in connection with dust releases and/or events alleged to have occurred in 2018 through May 2020 at the site. The action cited provisions which permit fines for the alleged infractions and sought €0.1 million in fines with a smaller amount held in abeyance. On February 2, 2022, the APPO announced that it would further investigate residents’ claims related to this matter. On February 25, 2022, the Amsterdam District Court ruled that the Company was liable for only one alleged violation and that this alleged violation was unintentional. The court issued a fine of €5 thousand, to be held in abeyance. Both the Company and the APPO appealed this ruling. On July 19, 2024, the Court of Appeals ruled that the Company was liable for two intentional violations and issued a fine of €25 thousand. Both the Company and the APPO appealed this ruling. On April 23, 2025, the APPO withdrew its appeal of the Court of Appeal's ruling from July 19, 2024 and the Company withdrew its reciprocal appeal on May 8, 2025. As such, the Court of Appeal's July 19, 2024 ruling has become final and binding. The Company is vigorously contesting all allegations against it and is also working with its customer to ensure the control of emissions. The Company has contractual indemnity rights from its customer that it believes will substantially cover any fines or penalties. Due to multiple defenses available to the Company, including that the majority of the alleged issues relate the customer's operations, the Company does not believe a loss is probable or potentially material.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11, 2018, the Company entered into an agreement with Orion Metals Mining Pty Ltd. (“Orion”) to provide slag processing services at Orion’s Highveld facility in South Africa. On October 3, 2018, the Company received a demand letter from Orion, asserting that the Company had failed to maintain minimum monthly processing requirements in breach of said agreement. The parties entered arbitration, with Orion filing a Statement of Claim on February 15, 2019, asserting approximately $29.0 million as of June 30, 2026, exclusive of interest, in damages for alleged claims for misrepresentation, rescission and breach of contract. On September 4, 2019, the Company counterclaimed, asserting approximately $3.5 million as of June 30, 2026 against Orion and its sureties for damages arising from Orion’s unlawful repudiation of the agreement. The matter thereafter became dormant, with Orion taking no action to prosecute its claims for nearly five years. In March 2025, Orion sought to revive the proceedings and its claims. On August 22, 2025, the Company brought a dismissal application seeking an award that Orion’s claims be dismissed for inordinate and inexcusable delay, which Orion has opposed. On June 30, 2026, the arbitrator awarded the Company its costs for the dismissal applications hearing, requested that Orion pay the arbitrator's costs and reduced the amount of interest sought by Orion. The Company vigorously contests all allegations made against it. Due to the multiple defenses and counterclaims available, the Company does not believe a loss is probable or estimable at this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Brazilian Tax Dispute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2020, the Company received an assessment from the municipal tax authority in Ipatinga, Brazil, alleging $2.0 million in unpaid service taxes from the period 2015 to 2020. This dispute is currently in the collection action phase of the legal process and the amount assessed includes interest charges that may increase at statutorily determined amounts per month and are assessed on the aggregate amount of the principal and penalties. In addition, while in the collection action phase, the losing party could be subject to a charge to cover statutorily mandated legal fees, which are generally calculated as a percentage of the total assessed amounts due, inclusive of penalty and interest. After calculating the interest and penalties accrued, the Company estimates that the current overall potential liability for this case is approximately $7.9 million as of June 30, 2026. On July 21, 2023, the Company filed the last administrative appeal against the decision that maintained the assessment and a final administrative decision is still pending. Due to the multiple defenses that are available, the Company does not believe a loss is probable and, as a result, no loss provision has been recorded in the Company's Condensed Consolidated Financial Statements and the Company does not expect that any costs that are reasonably possible to be incurred by the Company in connection with this tax dispute would have a material adverse effect on the Company's financial condition, results of operations or cash flows.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Company intends to continue its practice of vigorously defending itself against this tax claim under various alternatives, including judicial appeal. The Company will continue to evaluate its potential liability with regard to this claim on a quarterly basis; however, it is not possible to predict the ultimate outcome.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Asbestos Actions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named as one of many defendants in legal actions in the U.S. alleging personal injury from exposure to airborne asbestos over the past several decades. In their suits, the plaintiffs have named as defendants, among others, many manufacturers, distributors and installers of numerous types of equipment or products that allegedly contained asbestos.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approximately 17,000 pending asbestos personal injury actions filed against the Company. The vast majority of these actions were filed in the New York Supreme Court (New York County), of which the majority of such actions were on the Deferred/Inactive Docket created by the New York Supreme Court in December 2002 for all pending and future asbestos actions filed by persons who cannot demonstrate that they have a malignant condition or discernible physical impairment. A relatively small portion of cases are on the Active or In Extremis docket in New York County or on active dockets in other jurisdictions. The complaints in most of those actions generally follow a form that contains a standard demand of significant damages, regardless of the individual plaintiff's alleged medical condition, and without identifying any Company product.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continue to vigorously defend against such claims and is confident that it will be successful in doing so. The Company has never been a producer, manufacturer or processor of asbestos fibers. Any asbestos-containing part of a Company product used in the past was purchased from a supplier and the asbestos encapsulated in other materials such that airborne exposure, if it occurred, was not harmful and is not associated with the types of injuries alleged in the pending actions.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 has liability insurance coverage under various primary and excess policies that the Company believes will be available, if necessary, to substantially cover any liability that might ultimately be incurred in the asbestos actions referred to above. The costs and expenses of the asbestos actions are being paid by the Company's insurers.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view of the persistence of asbestos litigation in the U.S., the Company expects to continue to receive additional claims in the future. The Company intends to continue its practice of vigorously defending these claims and cases. As of June 30, 2026, the Company has successfully dismissed approximately 28,500 cases by stipulation or summary judgment prior to trial.</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It is not possible to predict the ultimate outcome of asbestos-related actions in the U.S. due to the unpredictable nature of this litigation, and no loss provision has been recorded in the Company's condensed consolidated financial statements because a loss contingency is not deemed probable or estimable. Despite this uncertainty, and although results of operations and cash flows for a given period could be adversely affected by asbestos-related actions, the Company does not expect that any costs that are reasonably possible to be incurred by the Company in connection with asbestos litigation would have a material adverse effect on the Company's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other claims and legal proceedings covering a wide range of matters that arose in the ordinary course of business. In the opinion of management, all such matters are adequately covered by insurance or by established reserves, and, if not so covered, are without merit or are of such kind, or involve such amounts, as would not have a material adverse effect on the financial position, results of operations or cash flows of the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Insurance liabilities are recorded when it is probable that a liability has been incurred for a particular event and the amount of loss associated with the event can be reasonably estimated. Insurance reserves have been estimated based primarily upon actuarial calculations and reflect the undiscounted estimated liabilities for ultimate losses, including claims incurred but not reported. Inherent in these estimates are assumptions that are based on the Company's history of claims and losses, a detailed analysis of existing claims with respect to potential value, and current legal and legislative trends. If actual claims differ from those projected by management, changes (either increases or decreases) to insurance reserves may be required and would be recorded through income in the period the change was determined. When a recognized liability has been determined to be covered by third-party insurance, the Company records an insurance claim receivable to reflect the covered liability. Insurance claim receivables are included in Other receivables on the Company's Condensed Consolidated Balance Sheets. See Note 1, Summary of Significant Accounting Policies in Legacy Enviri's Consolidated Financial Statements in the Company’s Information Statement, under Accrued Insurance and Loss Reserves,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Reconciliation of Basic and Diluted Shares*</w:t>
      </w:r>
    </w:p>
    <w:tbl>
      <w:tblPr>
        <w:tblW w:w="10205" w:type="dxa"/>
        <w:jc w:val="left"/>
        <w:tblInd w:w="0" w:type="dxa"/>
        <w:tblLayout w:type="fixed"/>
        <w:tblCellMar>
          <w:top w:w="28" w:type="dxa"/>
          <w:left w:w="28" w:type="dxa"/>
          <w:bottom w:w="28" w:type="dxa"/>
          <w:right w:w="28" w:type="dxa"/>
        </w:tblCellMar>
      </w:tblPr>
      <w:tblGrid>
        <w:gridCol w:w="1587"/>
        <w:gridCol w:w="1394"/>
        <w:gridCol w:w="1396"/>
        <w:gridCol w:w="109"/>
        <w:gridCol w:w="109"/>
        <w:gridCol w:w="109"/>
        <w:gridCol w:w="211"/>
        <w:gridCol w:w="850"/>
        <w:gridCol w:w="109"/>
        <w:gridCol w:w="109"/>
        <w:gridCol w:w="109"/>
        <w:gridCol w:w="109"/>
        <w:gridCol w:w="211"/>
        <w:gridCol w:w="745"/>
        <w:gridCol w:w="109"/>
        <w:gridCol w:w="109"/>
        <w:gridCol w:w="109"/>
        <w:gridCol w:w="109"/>
        <w:gridCol w:w="211"/>
        <w:gridCol w:w="850"/>
        <w:gridCol w:w="109"/>
        <w:gridCol w:w="109"/>
        <w:gridCol w:w="109"/>
        <w:gridCol w:w="109"/>
        <w:gridCol w:w="211"/>
        <w:gridCol w:w="745"/>
        <w:gridCol w:w="159"/>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3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from continuing operations attributable to Enviri Corporation common stockholders,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(298,301)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(322,661)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(52,300)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27,655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Dilutive effect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27,877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27,655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(loss) from continuing operations per common share, attributable to Enviri Corporation common stockholders:</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(10.70)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(11.67)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average outstanding stock-based compensation units were not included in the computation of diluted earnings (loss) per share because the effect was either antidilutive or the market conditions for the performance share units were not met:</w:t>
      </w:r>
    </w:p>
    <w:p>
      <w:pPr>
        <w:pStyle w:val="TextBody"/>
        <w:bidi w:val="0"/>
        <w:spacing w:before="0" w:after="0"/>
        <w:jc w:val="left"/>
        <w:rPr/>
      </w:pPr>
      <w:r>
        <w:rPr/>
      </w:r>
    </w:p>
    <w:tbl>
      <w:tblPr>
        <w:tblW w:w="6733" w:type="dxa"/>
        <w:jc w:val="left"/>
        <w:tblInd w:w="0" w:type="dxa"/>
        <w:tblLayout w:type="fixed"/>
        <w:tblCellMar>
          <w:top w:w="28" w:type="dxa"/>
          <w:left w:w="28" w:type="dxa"/>
          <w:bottom w:w="28" w:type="dxa"/>
          <w:right w:w="28" w:type="dxa"/>
        </w:tblCellMar>
      </w:tblPr>
      <w:tblGrid>
        <w:gridCol w:w="780"/>
        <w:gridCol w:w="689"/>
        <w:gridCol w:w="690"/>
        <w:gridCol w:w="109"/>
        <w:gridCol w:w="109"/>
        <w:gridCol w:w="109"/>
        <w:gridCol w:w="240"/>
        <w:gridCol w:w="241"/>
        <w:gridCol w:w="178"/>
        <w:gridCol w:w="178"/>
        <w:gridCol w:w="178"/>
        <w:gridCol w:w="178"/>
        <w:gridCol w:w="308"/>
        <w:gridCol w:w="308"/>
        <w:gridCol w:w="178"/>
        <w:gridCol w:w="109"/>
        <w:gridCol w:w="109"/>
        <w:gridCol w:w="109"/>
        <w:gridCol w:w="240"/>
        <w:gridCol w:w="241"/>
        <w:gridCol w:w="156"/>
        <w:gridCol w:w="154"/>
        <w:gridCol w:w="154"/>
        <w:gridCol w:w="154"/>
        <w:gridCol w:w="308"/>
        <w:gridCol w:w="308"/>
        <w:gridCol w:w="218"/>
      </w:tblGrid>
      <w:tr>
        <w:trPr/>
        <w:tc>
          <w:tcPr>
            <w:tcW w:w="7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Previously issued 2025 amounts have been revised due to the correction of immaterial errors, as identified in Note 1, Basis of Presentation under "Revision of Previously Issued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Transactions, outstanding liability and equity awards under Legacy Enviri's long-term incentive plan ("LTIP") became fully vested during the six months ended June 30, 2026. Accordingly, the Company recognized $9.3 million of compensation expense related to the acceleration of such incentive compensation awards during the three and six months ended June 30, 2026, which was recorded within Operating income (loss) from continuing operations. In addition, the Company recognized $4.7 million of stock-based compensation expense within Income (loss) from discontinued operations related to awards held by former employees of CE. Following the closing of the Transactions, no future awards may be granted under Legacy Enviri's equity compensation plans, which have been terminated.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settled certain in-the-money stock appreciation rights ("SARs") in connection with the Transactions, which included a cash payment of $16.5 million and the issuance of 709,542 replacement SARs in the Company. In addition, the Company issued 136,321 replacement SARs in the Company for certain SARs that were not in-the-money at the time of the Transactions. The Company recognized $0.1 million of incremental expense related to the issuance of the replacement SARs. The replacement SARS have a weighted-average exercise price of $8.89 and there is no future service requirement. Also during the six months ended June 30, 2026, the Company settled deferred compensation in shares to the Company's Board of Directors for $2.6 million and in cash-based performance stock units ("PSUs") to employees for $12.5 million that were previously liability-classified.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15, 2026, the Company granted new equity awards that consisted of restricted stock units ("RSUs") and PSUs under the Company's 2026 Omnibus Incentive Plan. This included 480,698 RSUs granted to the Company's employees with a weighted-average grant fair value of $20.71 per share and vest over a three-year period or upon a specified retirement or years of service criteria. PSUs of 290,871 were granted to the Company's employees with a weighted-average fair value of $28.68 per share and vest over a three-year performance period based on the Company's stock price performance. In addition, 43,750 RSUs were granted to Directors with a weighted-average grant fair value of $20.71 per share and vest over a one-year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Derivative Instruments, Hedging Activities and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 Instruments and Hedging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instruments, including foreign currency exchange forward contracts and interest rate swaps, to manage certain foreign currency and interest rate exposures. Derivative instruments are viewed as risk management tools by the Company and are not used for trading or speculative purposes. All derivative instruments are recorded on the Company's Condensed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The Company may enter into derivative contracts that are intended to economically hedge certain of its risks, even though hedge accounting does not apply or the Company elects not to apply hedge accounting.</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primarily applies the market approach for recurring fair value measurements and endeavors to utilize the best available information. Accordingly, the Company utilizes valuation techniques that maximize the use of observable inputs, such as forward rates, interest rates, the Company’s credit risk and counterparties’ credit risks, and which minimize the use of unobservable inputs. The Company is able to classify fair value balances based on the ability to observe those inputs. Foreign currency exchange forward contracts and interest rate swaps are based upon pricing models using market-based inputs (Level 2). Model inputs can be verified and valuation techniques do not involve significant management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outstanding derivative contracts recorded as assets and liabilities on the Company's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667"/>
        <w:gridCol w:w="586"/>
        <w:gridCol w:w="587"/>
        <w:gridCol w:w="109"/>
        <w:gridCol w:w="109"/>
        <w:gridCol w:w="109"/>
        <w:gridCol w:w="600"/>
        <w:gridCol w:w="600"/>
        <w:gridCol w:w="601"/>
        <w:gridCol w:w="109"/>
        <w:gridCol w:w="109"/>
        <w:gridCol w:w="109"/>
        <w:gridCol w:w="434"/>
        <w:gridCol w:w="1300"/>
        <w:gridCol w:w="226"/>
        <w:gridCol w:w="109"/>
        <w:gridCol w:w="109"/>
        <w:gridCol w:w="109"/>
        <w:gridCol w:w="423"/>
        <w:gridCol w:w="1476"/>
        <w:gridCol w:w="218"/>
        <w:gridCol w:w="109"/>
        <w:gridCol w:w="109"/>
        <w:gridCol w:w="109"/>
        <w:gridCol w:w="224"/>
        <w:gridCol w:w="785"/>
        <w:gridCol w:w="17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6,960</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7,091</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2,523</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1,763</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4,417</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6,960</w:t>
            </w:r>
            <w:r>
              <w:rPr>
                <w:color w:val="000000"/>
              </w:rPr>
              <w:t>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11,377</w:t>
            </w: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 (Level 2):</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12,341</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12,757</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12,341</w:t>
            </w:r>
            <w:r>
              <w:rPr>
                <w:color w:val="000000"/>
              </w:rPr>
              <w:t>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12,757</w:t>
            </w: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 (Level 2):</w:t>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of the Company's derivatives are recorded on the Condensed Consolidated Balance Sheets at gross amounts and do not offset. All of the Company's interest rate swaps and certain foreign currency exchange forward contracts are transacted under ISDA documentation. Each ISDA master agreement permits the net settlement of amounts owed in the event of default. The Company's derivative assets and liabilities subject to enforceable master netting arrangements, if offset, would have resulted in a net asset of $2.9 million at June 30, 2026 and a $0.3 million net liability at December 31, 2025.</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effect of derivative instruments on the Company's Condensed Consolidated Statements of Comprehensive Income (Loss) was as follows: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bl>
      <w:tblPr>
        <w:tblW w:w="10205" w:type="dxa"/>
        <w:jc w:val="left"/>
        <w:tblInd w:w="0" w:type="dxa"/>
        <w:tblLayout w:type="fixed"/>
        <w:tblCellMar>
          <w:top w:w="28" w:type="dxa"/>
          <w:left w:w="28" w:type="dxa"/>
          <w:bottom w:w="28" w:type="dxa"/>
          <w:right w:w="28" w:type="dxa"/>
        </w:tblCellMar>
      </w:tblPr>
      <w:tblGrid>
        <w:gridCol w:w="1336"/>
        <w:gridCol w:w="1176"/>
        <w:gridCol w:w="1180"/>
        <w:gridCol w:w="109"/>
        <w:gridCol w:w="109"/>
        <w:gridCol w:w="109"/>
        <w:gridCol w:w="211"/>
        <w:gridCol w:w="631"/>
        <w:gridCol w:w="109"/>
        <w:gridCol w:w="109"/>
        <w:gridCol w:w="109"/>
        <w:gridCol w:w="109"/>
        <w:gridCol w:w="211"/>
        <w:gridCol w:w="689"/>
        <w:gridCol w:w="109"/>
        <w:gridCol w:w="109"/>
        <w:gridCol w:w="109"/>
        <w:gridCol w:w="109"/>
        <w:gridCol w:w="378"/>
        <w:gridCol w:w="917"/>
        <w:gridCol w:w="194"/>
        <w:gridCol w:w="194"/>
        <w:gridCol w:w="194"/>
        <w:gridCol w:w="194"/>
        <w:gridCol w:w="378"/>
        <w:gridCol w:w="835"/>
        <w:gridCol w:w="288"/>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Gain (Loss) Recognized in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OCI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 (Gain) Reclassified 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AOCI into Income - Effective Portion or Equity</w:t>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3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3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36"/>
        <w:gridCol w:w="1176"/>
        <w:gridCol w:w="1180"/>
        <w:gridCol w:w="109"/>
        <w:gridCol w:w="109"/>
        <w:gridCol w:w="109"/>
        <w:gridCol w:w="211"/>
        <w:gridCol w:w="631"/>
        <w:gridCol w:w="109"/>
        <w:gridCol w:w="109"/>
        <w:gridCol w:w="109"/>
        <w:gridCol w:w="109"/>
        <w:gridCol w:w="211"/>
        <w:gridCol w:w="689"/>
        <w:gridCol w:w="109"/>
        <w:gridCol w:w="109"/>
        <w:gridCol w:w="109"/>
        <w:gridCol w:w="109"/>
        <w:gridCol w:w="347"/>
        <w:gridCol w:w="1137"/>
        <w:gridCol w:w="179"/>
        <w:gridCol w:w="179"/>
        <w:gridCol w:w="179"/>
        <w:gridCol w:w="179"/>
        <w:gridCol w:w="347"/>
        <w:gridCol w:w="767"/>
        <w:gridCol w:w="258"/>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Gain (Loss) Recognized in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OCI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(Gain) Reclassified from</w:t>
              <w:br/>
              <w:t>AOCI into Income - Effective Portion or Equity</w:t>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(1,701)</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locations and amounts of gain (loss) recognized on the Company's Condensed Consolidated Statements of Operations was as follows:</w:t>
      </w:r>
    </w:p>
    <w:tbl>
      <w:tblPr>
        <w:tblW w:w="10205" w:type="dxa"/>
        <w:jc w:val="center"/>
        <w:tblInd w:w="0" w:type="dxa"/>
        <w:tblLayout w:type="fixed"/>
        <w:tblCellMar>
          <w:top w:w="28" w:type="dxa"/>
          <w:left w:w="28" w:type="dxa"/>
          <w:bottom w:w="28" w:type="dxa"/>
          <w:right w:w="28" w:type="dxa"/>
        </w:tblCellMar>
      </w:tblPr>
      <w:tblGrid>
        <w:gridCol w:w="1327"/>
        <w:gridCol w:w="1170"/>
        <w:gridCol w:w="1179"/>
        <w:gridCol w:w="109"/>
        <w:gridCol w:w="109"/>
        <w:gridCol w:w="109"/>
        <w:gridCol w:w="226"/>
        <w:gridCol w:w="789"/>
        <w:gridCol w:w="116"/>
        <w:gridCol w:w="109"/>
        <w:gridCol w:w="109"/>
        <w:gridCol w:w="109"/>
        <w:gridCol w:w="109"/>
        <w:gridCol w:w="109"/>
        <w:gridCol w:w="223"/>
        <w:gridCol w:w="685"/>
        <w:gridCol w:w="115"/>
        <w:gridCol w:w="109"/>
        <w:gridCol w:w="109"/>
        <w:gridCol w:w="109"/>
        <w:gridCol w:w="109"/>
        <w:gridCol w:w="109"/>
        <w:gridCol w:w="227"/>
        <w:gridCol w:w="776"/>
        <w:gridCol w:w="117"/>
        <w:gridCol w:w="109"/>
        <w:gridCol w:w="109"/>
        <w:gridCol w:w="109"/>
        <w:gridCol w:w="109"/>
        <w:gridCol w:w="109"/>
        <w:gridCol w:w="223"/>
        <w:gridCol w:w="685"/>
        <w:gridCol w:w="115"/>
        <w:gridCol w:w="109"/>
        <w:gridCol w:w="161"/>
      </w:tblGrid>
      <w:tr>
        <w:trPr/>
        <w:tc>
          <w:tcPr>
            <w:tcW w:w="132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067" w:type="dxa"/>
            <w:gridSpan w:val="14"/>
            <w:tcBorders/>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067" w:type="dxa"/>
            <w:gridSpan w:val="14"/>
            <w:tcBorders/>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958" w:type="dxa"/>
            <w:gridSpan w:val="13"/>
            <w:tcBorders/>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amounts in the Condensed Consolidated Statement of Operations in which the effects of derivatives designated as hedging instruments are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65,985</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(8,239)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reclassified from AOCI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reclassified from AOCI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71"/>
        <w:gridCol w:w="1033"/>
        <w:gridCol w:w="1041"/>
        <w:gridCol w:w="109"/>
        <w:gridCol w:w="109"/>
        <w:gridCol w:w="109"/>
        <w:gridCol w:w="219"/>
        <w:gridCol w:w="873"/>
        <w:gridCol w:w="113"/>
        <w:gridCol w:w="109"/>
        <w:gridCol w:w="109"/>
        <w:gridCol w:w="109"/>
        <w:gridCol w:w="216"/>
        <w:gridCol w:w="768"/>
        <w:gridCol w:w="112"/>
        <w:gridCol w:w="109"/>
        <w:gridCol w:w="109"/>
        <w:gridCol w:w="109"/>
        <w:gridCol w:w="109"/>
        <w:gridCol w:w="155"/>
        <w:gridCol w:w="155"/>
        <w:gridCol w:w="156"/>
        <w:gridCol w:w="219"/>
        <w:gridCol w:w="860"/>
        <w:gridCol w:w="113"/>
        <w:gridCol w:w="109"/>
        <w:gridCol w:w="109"/>
        <w:gridCol w:w="109"/>
        <w:gridCol w:w="109"/>
        <w:gridCol w:w="109"/>
        <w:gridCol w:w="216"/>
        <w:gridCol w:w="768"/>
        <w:gridCol w:w="112"/>
        <w:gridCol w:w="109"/>
        <w:gridCol w:w="161"/>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59" w:type="dxa"/>
            <w:gridSpan w:val="14"/>
            <w:tcBorders/>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59" w:type="dxa"/>
            <w:gridSpan w:val="14"/>
            <w:tcBorders/>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103" w:type="dxa"/>
            <w:gridSpan w:val="13"/>
            <w:tcBorders/>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amounts in the Condensed Consolidated Statement of Operations in which the effects of derivatives designated as hedging instruments are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131,763</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(16,766)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reclassified from AOCI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reclassified from AOCI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bl>
      <w:tblPr>
        <w:tblW w:w="10205"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851"/>
        <w:gridCol w:w="851"/>
        <w:gridCol w:w="853"/>
        <w:gridCol w:w="109"/>
        <w:gridCol w:w="109"/>
        <w:gridCol w:w="109"/>
        <w:gridCol w:w="211"/>
        <w:gridCol w:w="631"/>
        <w:gridCol w:w="109"/>
        <w:gridCol w:w="109"/>
        <w:gridCol w:w="109"/>
        <w:gridCol w:w="109"/>
        <w:gridCol w:w="211"/>
        <w:gridCol w:w="752"/>
        <w:gridCol w:w="109"/>
        <w:gridCol w:w="109"/>
        <w:gridCol w:w="109"/>
        <w:gridCol w:w="109"/>
        <w:gridCol w:w="211"/>
        <w:gridCol w:w="736"/>
        <w:gridCol w:w="109"/>
        <w:gridCol w:w="109"/>
        <w:gridCol w:w="109"/>
        <w:gridCol w:w="109"/>
        <w:gridCol w:w="211"/>
        <w:gridCol w:w="752"/>
        <w:gridCol w:w="158"/>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Location of Gain (Loss) Recognized in Income on Derivatives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of Gain (Loss) Recognized in Income on Derivatives</w:t>
            </w:r>
            <w:r>
              <w:rPr>
                <w:color w:val="000000"/>
              </w:rPr>
              <w:t xml:space="preserve"> </w:t>
            </w:r>
            <w:r>
              <w:rPr>
                <w:rFonts w:ascii="Times New Roman;serif" w:hAnsi="Times New Roman;serif"/>
                <w:b/>
                <w:color w:val="000000"/>
                <w:sz w:val="10"/>
              </w:rPr>
              <w:t>(a)</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services and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These gains (losses) offset other amounts recognized in cost of services and products sold principally as a result of intercompany or third party foreign currency exposures.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Exchange Forward Contracts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conducts business in multiple currencies and, accordingly, is subject to the inherent risks associated with foreign exchange rate movements. Foreign currency-denominated assets and liabilities are translated into U.S. dollars at the exchange rates existing at the respective balance sheet dates, and income and expense items are translated at the average exchange rates during the respective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instruments to hedge cash flows related to foreign currency fluctuations. Foreign currency exchange forward contracts outstanding are part of a worldwide program to minimize foreign currency exchange operating income and balance sheet exposure by offsetting foreign currency exposures of certain future payments between the Company and various subsidiaries, suppliers or customers. The unsecured contracts are with major financial institutions. The Company may be exposed to credit loss in the event of non-performance by the contract counterparties. The Company evaluates the creditworthiness of the counterparties and does not expect default by them. Foreign currency exchange forward contracts are used to hedge commitments, such as foreign currency debt, firm purchase commitments and foreign currency cash flows for certain export sales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may be accounted for as cash flow hedges, as deemed appropriate, if the criteria for hedge accounting are met. Gains and losses on derivatives designated as cash flow hedges are deferred in AOCI, a separate component of equity, and reclassified to earnings in a manner that matches the timing of the earnings impact of the hedged transactions. The ineffective portion of all hedges, if any, is recognized currently in earnings.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recognized gains and losses offset amounts recognized in cost of services and products sold principally as a result of intercompany or third-party foreign currency exposures. At June 30, 2026 and December 31, 2025, the notional amounts of foreign currency exchange forward contracts were $627.7 million and $639.0 million, respectively. These contracts are primarily denominated in British Pound Sterling and Euros and mature through February 2028.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foreign currency exchange forward contracts, the Company designates certain loans as hedges of net investments in international subsidiaries. The Company recorded pre-tax net gains of $0.6 million and $0.7 million for the three and six months ended June 30, 2026, respectively, and pre-tax net losses $1.3 million of $1.9 million for the three and six months ended June 30, 2025, respectively, in OCI.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swaps in conjunction with certain variable rate debt issuances in order to secure a fixed interest rate. Changes in the fair value attributed to the effect of the swaps’ interest spread and changes in the credit worthiness of the counter-parties are recorded in OCI.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 series of interest rate swaps that have been effective since December 2025 and are scheduled to mature in March 2028. These forward swaps have the effect of converting $300.0 million under the Term Loan from a floating interest rate to a fixed interest rate and are classified as cash flow hedges. These swaps provide fixed interest rates that range from 3.06% to 3.12% and replace the adjusted SOFR rate in the interest calculation.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of Other Financial Instruments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accounts payable, accrued liabilities and short-term borrowings approximate fair value due to the short-term maturities of these assets and liabilities. At June 30, 2026 and December 31, 2025, the total fair value of long-term debt and current maturities, excluding deferred financing costs, was $391.3 million and $1,504.7 million, respectively, compared with a carrying value of $392.7 million and $1,505.3 million, respectively. Fair values for debt are based on pricing models using market-based inputs (Level 2) for similar issues or on the current rates offered to the Company for debt of the same remaining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Review of Operations by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include information about the Company's revenues and operating income (loss) by reportable segment, along with significant segment expenses and other segment information, followed by a reconciliation of operating income (loss) by reporting segment to the Company's consolidated Income (loss) from continuing operations before income taxes and equity in income, for the periods presented:</w:t>
      </w:r>
    </w:p>
    <w:tbl>
      <w:tblPr>
        <w:tblW w:w="10205" w:type="dxa"/>
        <w:jc w:val="left"/>
        <w:tblInd w:w="0" w:type="dxa"/>
        <w:tblLayout w:type="fixed"/>
        <w:tblCellMar>
          <w:top w:w="28" w:type="dxa"/>
          <w:left w:w="28" w:type="dxa"/>
          <w:bottom w:w="28" w:type="dxa"/>
          <w:right w:w="28" w:type="dxa"/>
        </w:tblCellMar>
      </w:tblPr>
      <w:tblGrid>
        <w:gridCol w:w="955"/>
        <w:gridCol w:w="716"/>
        <w:gridCol w:w="719"/>
        <w:gridCol w:w="112"/>
        <w:gridCol w:w="112"/>
        <w:gridCol w:w="112"/>
        <w:gridCol w:w="408"/>
        <w:gridCol w:w="408"/>
        <w:gridCol w:w="409"/>
        <w:gridCol w:w="112"/>
        <w:gridCol w:w="112"/>
        <w:gridCol w:w="112"/>
        <w:gridCol w:w="112"/>
        <w:gridCol w:w="109"/>
        <w:gridCol w:w="386"/>
        <w:gridCol w:w="390"/>
        <w:gridCol w:w="217"/>
        <w:gridCol w:w="109"/>
        <w:gridCol w:w="109"/>
        <w:gridCol w:w="109"/>
        <w:gridCol w:w="269"/>
        <w:gridCol w:w="1084"/>
        <w:gridCol w:w="150"/>
        <w:gridCol w:w="109"/>
        <w:gridCol w:w="109"/>
        <w:gridCol w:w="109"/>
        <w:gridCol w:w="196"/>
        <w:gridCol w:w="777"/>
        <w:gridCol w:w="109"/>
        <w:gridCol w:w="109"/>
        <w:gridCol w:w="109"/>
        <w:gridCol w:w="109"/>
        <w:gridCol w:w="196"/>
        <w:gridCol w:w="777"/>
        <w:gridCol w:w="165"/>
      </w:tblGrid>
      <w:tr>
        <w:trPr/>
        <w:tc>
          <w:tcPr>
            <w:tcW w:w="95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465" w:type="dxa"/>
            <w:gridSpan w:val="6"/>
            <w:tcBorders/>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Harsco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Environmental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Harsco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Segment Profit and Loss: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266,160</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(78,818)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187,342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187,342</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Cost of services and products sold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221,940</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123,679</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345,619</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345,619</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27,196</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10,330</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37,526</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49,062</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activities</w:t>
            </w:r>
            <w:r>
              <w:rPr>
                <w:color w:val="000000"/>
              </w:rPr>
              <w:t xml:space="preserve"> </w:t>
            </w:r>
            <w:r>
              <w:rPr>
                <w:rFonts w:ascii="Times New Roman;serif" w:hAnsi="Times New Roman;serif"/>
                <w:b w:val="false"/>
                <w:color w:val="000000"/>
                <w:sz w:val="10"/>
              </w:rPr>
              <w:t>(a)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4,048</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8,019</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12,067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37,084</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 from continuing operations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12,976</w:t>
            </w:r>
            <w:r>
              <w:rPr>
                <w:color w:val="000000"/>
              </w:rPr>
              <w:t>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(220,846)</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(207,870)</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(244,423)</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Plus: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580</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Facility fees and debt-related income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pension income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1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from continuing operations before income taxes and equity in income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(256,318)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6"/>
            <w:tcBorders/>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Other Segment Information:</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27,438</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1,185</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28,623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28,854</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Amortization</w:t>
            </w:r>
            <w:r>
              <w:rPr>
                <w:color w:val="000000"/>
              </w:rPr>
              <w:t xml:space="preserve"> </w:t>
            </w:r>
            <w:r>
              <w:rPr>
                <w:rFonts w:ascii="Times New Roman;serif" w:hAnsi="Times New Roman;serif"/>
                <w:b w:val="false"/>
                <w:color w:val="000000"/>
                <w:sz w:val="10"/>
              </w:rPr>
              <w:t>(b)</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568</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813</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1,865</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20,704</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1,523</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22,227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22,318</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99"/>
        <w:gridCol w:w="877"/>
        <w:gridCol w:w="880"/>
        <w:gridCol w:w="111"/>
        <w:gridCol w:w="111"/>
        <w:gridCol w:w="111"/>
        <w:gridCol w:w="406"/>
        <w:gridCol w:w="406"/>
        <w:gridCol w:w="407"/>
        <w:gridCol w:w="111"/>
        <w:gridCol w:w="111"/>
        <w:gridCol w:w="111"/>
        <w:gridCol w:w="111"/>
        <w:gridCol w:w="109"/>
        <w:gridCol w:w="347"/>
        <w:gridCol w:w="348"/>
        <w:gridCol w:w="219"/>
        <w:gridCol w:w="109"/>
        <w:gridCol w:w="109"/>
        <w:gridCol w:w="109"/>
        <w:gridCol w:w="235"/>
        <w:gridCol w:w="884"/>
        <w:gridCol w:w="130"/>
        <w:gridCol w:w="109"/>
        <w:gridCol w:w="109"/>
        <w:gridCol w:w="109"/>
        <w:gridCol w:w="196"/>
        <w:gridCol w:w="696"/>
        <w:gridCol w:w="109"/>
        <w:gridCol w:w="109"/>
        <w:gridCol w:w="109"/>
        <w:gridCol w:w="109"/>
        <w:gridCol w:w="196"/>
        <w:gridCol w:w="736"/>
        <w:gridCol w:w="167"/>
      </w:tblGrid>
      <w:tr>
        <w:trPr/>
        <w:tc>
          <w:tcPr>
            <w:tcW w:w="10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426" w:type="dxa"/>
            <w:gridSpan w:val="6"/>
            <w:tcBorders/>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Harsco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Environmental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Harsco </w:t>
              <w:br/>
              <w:t>Rail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Reportable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Profit and Loss: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Cost of services and products sold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220,194 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25,494 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charge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activities</w:t>
            </w:r>
            <w:r>
              <w:rPr>
                <w:color w:val="000000"/>
              </w:rPr>
              <w:t xml:space="preserve"> </w:t>
            </w:r>
            <w:r>
              <w:rPr>
                <w:rFonts w:ascii="Times New Roman;serif" w:hAnsi="Times New Roman;serif"/>
                <w:b w:val="false"/>
                <w:color w:val="000000"/>
                <w:sz w:val="10"/>
              </w:rPr>
              <w:t>(a)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 from continuing operations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4,251 </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(20,325)</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(31,583)</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Plus: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Facility fees and debt-related income (expense)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pension income (expense)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1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Income (loss) from continuing operations before income taxes and equity in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6"/>
            <w:tcBorders/>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Other Segment Information: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27,046 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Amortization</w:t>
            </w:r>
            <w:r>
              <w:rPr>
                <w:color w:val="000000"/>
              </w:rPr>
              <w:t xml:space="preserve"> </w:t>
            </w:r>
            <w:r>
              <w:rPr>
                <w:rFonts w:ascii="Times New Roman;serif" w:hAnsi="Times New Roman;serif"/>
                <w:b w:val="false"/>
                <w:color w:val="000000"/>
                <w:sz w:val="10"/>
              </w:rPr>
              <w:t>(b)</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86"/>
        <w:gridCol w:w="740"/>
        <w:gridCol w:w="741"/>
        <w:gridCol w:w="109"/>
        <w:gridCol w:w="109"/>
        <w:gridCol w:w="109"/>
        <w:gridCol w:w="488"/>
        <w:gridCol w:w="488"/>
        <w:gridCol w:w="490"/>
        <w:gridCol w:w="109"/>
        <w:gridCol w:w="109"/>
        <w:gridCol w:w="109"/>
        <w:gridCol w:w="109"/>
        <w:gridCol w:w="109"/>
        <w:gridCol w:w="388"/>
        <w:gridCol w:w="391"/>
        <w:gridCol w:w="218"/>
        <w:gridCol w:w="109"/>
        <w:gridCol w:w="109"/>
        <w:gridCol w:w="109"/>
        <w:gridCol w:w="216"/>
        <w:gridCol w:w="864"/>
        <w:gridCol w:w="119"/>
        <w:gridCol w:w="109"/>
        <w:gridCol w:w="109"/>
        <w:gridCol w:w="109"/>
        <w:gridCol w:w="196"/>
        <w:gridCol w:w="780"/>
        <w:gridCol w:w="109"/>
        <w:gridCol w:w="109"/>
        <w:gridCol w:w="109"/>
        <w:gridCol w:w="109"/>
        <w:gridCol w:w="196"/>
        <w:gridCol w:w="780"/>
        <w:gridCol w:w="162"/>
      </w:tblGrid>
      <w:tr>
        <w:trPr/>
        <w:tc>
          <w:tcPr>
            <w:tcW w:w="98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465" w:type="dxa"/>
            <w:gridSpan w:val="6"/>
            <w:tcBorders/>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Harsco Environmental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Harsco </w:t>
              <w:br/>
              <w:t>Rail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w:t>
              <w:b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Profit and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522,877</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(11,487)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511,390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511,390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Cost of services and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439,947</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181,651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621,598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621,598</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55,139</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22,088</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77,227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101,430</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activities</w:t>
            </w:r>
            <w:r>
              <w:rPr>
                <w:color w:val="000000"/>
              </w:rPr>
              <w:t xml:space="preserve"> </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4,786</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8,817</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13,603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38,670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23,005</w:t>
            </w:r>
            <w:r>
              <w:rPr>
                <w:color w:val="000000"/>
              </w:rPr>
              <w:t>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(224,043)</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(201,038)</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(49,270)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(250,308)</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1,038</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(16,766)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Facility fees and debt-related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pension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1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from continuing operations before income taxes and equity in income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(274,428)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6"/>
            <w:tcBorders/>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Other Segment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55,334</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57,715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58,179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Amortization</w:t>
            </w:r>
            <w:r>
              <w:rPr>
                <w:color w:val="000000"/>
              </w:rPr>
              <w:t xml:space="preserve">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1,140</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530</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3,771</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38,111</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3,291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41,402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41,622</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7"/>
        <w:gridCol w:w="789"/>
        <w:gridCol w:w="790"/>
        <w:gridCol w:w="109"/>
        <w:gridCol w:w="109"/>
        <w:gridCol w:w="109"/>
        <w:gridCol w:w="497"/>
        <w:gridCol w:w="497"/>
        <w:gridCol w:w="499"/>
        <w:gridCol w:w="109"/>
        <w:gridCol w:w="109"/>
        <w:gridCol w:w="109"/>
        <w:gridCol w:w="109"/>
        <w:gridCol w:w="109"/>
        <w:gridCol w:w="368"/>
        <w:gridCol w:w="368"/>
        <w:gridCol w:w="219"/>
        <w:gridCol w:w="109"/>
        <w:gridCol w:w="109"/>
        <w:gridCol w:w="109"/>
        <w:gridCol w:w="227"/>
        <w:gridCol w:w="855"/>
        <w:gridCol w:w="126"/>
        <w:gridCol w:w="109"/>
        <w:gridCol w:w="109"/>
        <w:gridCol w:w="109"/>
        <w:gridCol w:w="196"/>
        <w:gridCol w:w="693"/>
        <w:gridCol w:w="109"/>
        <w:gridCol w:w="109"/>
        <w:gridCol w:w="109"/>
        <w:gridCol w:w="109"/>
        <w:gridCol w:w="196"/>
        <w:gridCol w:w="736"/>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419" w:type="dxa"/>
            <w:gridSpan w:val="6"/>
            <w:tcBorders/>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Harsco Environmental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Harsco </w:t>
              <w:br/>
              <w:t>Rail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w:t>
              <w:b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Profit and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501,115 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629,025 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629,025 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Cost of services and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422,211 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activities</w:t>
            </w:r>
            <w:r>
              <w:rPr>
                <w:color w:val="000000"/>
              </w:rPr>
              <w:t xml:space="preserve"> </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14,324 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(13,187)</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(26,535)</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Facility fees and debt-related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1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Income (loss) from continuing operations before income taxes and equity in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6"/>
            <w:tcBorders/>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Other Segment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Amortization </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Other segment activities include amounts reflected in the captions Research and development costs, Other income (expenses), net, and certain activities reported in Cost of services and products sold on the Company's Condensed Consolidated Statements of Operations.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Amortization expense in Corporate relates to the amortization of deferred financing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Previously issued 2025 amounts have been revised due to the correction of immaterial errors, as identified in Note 1, Basis of Presentation under "Revision of Previously Issued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revenues to depict the transfer of promised services and products to customers in an amount that reflects the consideration the Company expects to receive in exchange for those services and products. There are no significant inter-segment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revenues by primary geographical markets as well as by key product and service groups is as follows:</w:t>
      </w:r>
    </w:p>
    <w:tbl>
      <w:tblPr>
        <w:tblW w:w="10205" w:type="dxa"/>
        <w:jc w:val="center"/>
        <w:tblInd w:w="0" w:type="dxa"/>
        <w:tblLayout w:type="fixed"/>
        <w:tblCellMar>
          <w:top w:w="28" w:type="dxa"/>
          <w:left w:w="28" w:type="dxa"/>
          <w:bottom w:w="28" w:type="dxa"/>
          <w:right w:w="28" w:type="dxa"/>
        </w:tblCellMar>
      </w:tblPr>
      <w:tblGrid>
        <w:gridCol w:w="1770"/>
        <w:gridCol w:w="1540"/>
        <w:gridCol w:w="1551"/>
        <w:gridCol w:w="109"/>
        <w:gridCol w:w="109"/>
        <w:gridCol w:w="109"/>
        <w:gridCol w:w="263"/>
        <w:gridCol w:w="1053"/>
        <w:gridCol w:w="136"/>
        <w:gridCol w:w="109"/>
        <w:gridCol w:w="109"/>
        <w:gridCol w:w="109"/>
        <w:gridCol w:w="109"/>
        <w:gridCol w:w="109"/>
        <w:gridCol w:w="211"/>
        <w:gridCol w:w="764"/>
        <w:gridCol w:w="109"/>
        <w:gridCol w:w="109"/>
        <w:gridCol w:w="109"/>
        <w:gridCol w:w="109"/>
        <w:gridCol w:w="109"/>
        <w:gridCol w:w="109"/>
        <w:gridCol w:w="242"/>
        <w:gridCol w:w="967"/>
        <w:gridCol w:w="182"/>
      </w:tblGrid>
      <w:tr>
        <w:trPr/>
        <w:tc>
          <w:tcPr>
            <w:tcW w:w="177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936" w:type="dxa"/>
            <w:gridSpan w:val="8"/>
            <w:tcBorders/>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936" w:type="dxa"/>
            <w:gridSpan w:val="8"/>
            <w:tcBorders/>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 Environmental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Harsco Rail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Totals</w:t>
            </w:r>
          </w:p>
        </w:tc>
      </w:tr>
      <w:tr>
        <w:trPr/>
        <w:tc>
          <w:tcPr>
            <w:tcW w:w="4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Primary Geographical Markets </w:t>
            </w:r>
            <w:r>
              <w:rPr>
                <w:rFonts w:ascii="Times New Roman;serif" w:hAnsi="Times New Roman;serif"/>
                <w:b/>
                <w:color w:val="000000"/>
                <w:sz w:val="16"/>
              </w:rPr>
              <w:t>(a)</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61,950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38,836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103,241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38,691</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Latin America </w:t>
            </w: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42,693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45,059</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27,250</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33,693</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26,109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26,146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Eastern Europe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266,160</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(78,818)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187,342</w:t>
            </w:r>
            <w:r>
              <w:rPr>
                <w:color w:val="000000"/>
              </w:rPr>
              <w:t>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Product and Service Groups: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 related to resource recovery for metals manufacturing and related logistical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245,383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245,383</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15,101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15,101</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systems for aluminum dross and scrap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track maintenance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(122,114)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market parts and services; safety and diagnostic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31,464</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contracting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11,832</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266,160</w:t>
            </w:r>
            <w:r>
              <w:rPr>
                <w:color w:val="000000"/>
              </w:rPr>
              <w:t>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(78,818)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187,342</w:t>
            </w:r>
            <w:r>
              <w:rPr>
                <w:color w:val="000000"/>
              </w:rPr>
              <w:t>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87"/>
        <w:gridCol w:w="1554"/>
        <w:gridCol w:w="1566"/>
        <w:gridCol w:w="109"/>
        <w:gridCol w:w="109"/>
        <w:gridCol w:w="109"/>
        <w:gridCol w:w="267"/>
        <w:gridCol w:w="1049"/>
        <w:gridCol w:w="139"/>
        <w:gridCol w:w="109"/>
        <w:gridCol w:w="109"/>
        <w:gridCol w:w="109"/>
        <w:gridCol w:w="109"/>
        <w:gridCol w:w="109"/>
        <w:gridCol w:w="211"/>
        <w:gridCol w:w="721"/>
        <w:gridCol w:w="109"/>
        <w:gridCol w:w="109"/>
        <w:gridCol w:w="109"/>
        <w:gridCol w:w="109"/>
        <w:gridCol w:w="109"/>
        <w:gridCol w:w="109"/>
        <w:gridCol w:w="244"/>
        <w:gridCol w:w="958"/>
        <w:gridCol w:w="183"/>
      </w:tblGrid>
      <w:tr>
        <w:trPr/>
        <w:tc>
          <w:tcPr>
            <w:tcW w:w="178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930" w:type="dxa"/>
            <w:gridSpan w:val="8"/>
            <w:tcBorders/>
          </w:tcPr>
          <w:p>
            <w:pPr>
              <w:pStyle w:val="TableContents"/>
              <w:bidi w:val="0"/>
              <w:spacing w:before="0" w:after="283"/>
              <w:jc w:val="left"/>
              <w:rPr>
                <w:sz w:val="4"/>
                <w:szCs w:val="4"/>
              </w:rPr>
            </w:pPr>
            <w:r>
              <w:rPr>
                <w:sz w:val="4"/>
                <w:szCs w:val="4"/>
              </w:rPr>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930" w:type="dxa"/>
            <w:gridSpan w:val="8"/>
            <w:tcBorders/>
          </w:tcPr>
          <w:p>
            <w:pPr>
              <w:pStyle w:val="TableContents"/>
              <w:bidi w:val="0"/>
              <w:spacing w:before="0" w:after="283"/>
              <w:jc w:val="left"/>
              <w:rPr>
                <w:sz w:val="4"/>
                <w:szCs w:val="4"/>
              </w:rPr>
            </w:pPr>
            <w:r>
              <w:rPr>
                <w:sz w:val="4"/>
                <w:szCs w:val="4"/>
              </w:rPr>
            </w:r>
          </w:p>
        </w:tc>
      </w:tr>
      <w:tr>
        <w:trPr/>
        <w:tc>
          <w:tcPr>
            <w:tcW w:w="4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 Environmental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Harsco Rail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Totals</w:t>
            </w:r>
          </w:p>
        </w:tc>
      </w:tr>
      <w:tr>
        <w:trPr/>
        <w:tc>
          <w:tcPr>
            <w:tcW w:w="49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Primary Geographical Markets </w:t>
            </w:r>
            <w:r>
              <w:rPr>
                <w:rFonts w:ascii="Times New Roman;serif" w:hAnsi="Times New Roman;serif"/>
                <w:b/>
                <w:color w:val="000000"/>
                <w:sz w:val="16"/>
              </w:rPr>
              <w:t>(a)</w:t>
            </w:r>
            <w:r>
              <w:rPr>
                <w:rFonts w:ascii="Times New Roman;serif" w:hAnsi="Times New Roman;serif"/>
                <w:b/>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Latin America </w:t>
            </w: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Eastern Europe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258,009 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315,972 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Product and Service Groups: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 related to resource recovery for metals manufacturing and related logistical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systems for aluminum dross and scrap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track maintenance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market parts and services; safety and diagnostic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contracting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315,972 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02"/>
        <w:gridCol w:w="1478"/>
        <w:gridCol w:w="1490"/>
        <w:gridCol w:w="109"/>
        <w:gridCol w:w="109"/>
        <w:gridCol w:w="109"/>
        <w:gridCol w:w="260"/>
        <w:gridCol w:w="1042"/>
        <w:gridCol w:w="135"/>
        <w:gridCol w:w="109"/>
        <w:gridCol w:w="109"/>
        <w:gridCol w:w="109"/>
        <w:gridCol w:w="109"/>
        <w:gridCol w:w="109"/>
        <w:gridCol w:w="109"/>
        <w:gridCol w:w="109"/>
        <w:gridCol w:w="211"/>
        <w:gridCol w:w="762"/>
        <w:gridCol w:w="109"/>
        <w:gridCol w:w="109"/>
        <w:gridCol w:w="109"/>
        <w:gridCol w:w="109"/>
        <w:gridCol w:w="109"/>
        <w:gridCol w:w="109"/>
        <w:gridCol w:w="240"/>
        <w:gridCol w:w="960"/>
        <w:gridCol w:w="181"/>
      </w:tblGrid>
      <w:tr>
        <w:trPr/>
        <w:tc>
          <w:tcPr>
            <w:tcW w:w="170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117" w:type="dxa"/>
            <w:gridSpan w:val="12"/>
            <w:tcBorders/>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117" w:type="dxa"/>
            <w:gridSpan w:val="12"/>
            <w:tcBorders/>
          </w:tcPr>
          <w:p>
            <w:pPr>
              <w:pStyle w:val="TableContents"/>
              <w:bidi w:val="0"/>
              <w:spacing w:before="0" w:after="283"/>
              <w:jc w:val="left"/>
              <w:rPr>
                <w:sz w:val="4"/>
                <w:szCs w:val="4"/>
              </w:rPr>
            </w:pPr>
            <w:r>
              <w:rPr>
                <w:sz w:val="4"/>
                <w:szCs w:val="4"/>
              </w:rPr>
            </w:r>
          </w:p>
        </w:tc>
      </w:tr>
      <w:tr>
        <w:trPr/>
        <w:tc>
          <w:tcPr>
            <w:tcW w:w="4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 Environmental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 Rail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Totals</w:t>
            </w:r>
          </w:p>
        </w:tc>
      </w:tr>
      <w:tr>
        <w:trPr/>
        <w:tc>
          <w:tcPr>
            <w:tcW w:w="4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Primary Geographical Markets </w:t>
            </w:r>
            <w:r>
              <w:rPr>
                <w:rFonts w:ascii="Times New Roman;serif" w:hAnsi="Times New Roman;serif"/>
                <w:b/>
                <w:color w:val="000000"/>
                <w:sz w:val="16"/>
              </w:rPr>
              <w:t>(a)</w:t>
            </w:r>
            <w:r>
              <w:rPr>
                <w:rFonts w:ascii="Times New Roman;serif" w:hAnsi="Times New Roman;serif"/>
                <w:b/>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121,048</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137,552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199,680</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157,016</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Latin America </w:t>
            </w: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83,246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87,234</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57,607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68,210</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51,597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51,679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Eastern Europe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9,699</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522,877</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511,390</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Product and Service Groups: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 related to resource recovery for metals manufacturing and related logistical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485,808</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485,808</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27,314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27,314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systems for aluminum dross and scrap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track maintenance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(101,411)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After-market parts and services; safety and diagnostic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60,419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contracting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29,505</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522,877</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511,390</w:t>
            </w:r>
            <w:r>
              <w:rPr>
                <w:color w:val="000000"/>
              </w:rPr>
              <w:t>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84"/>
        <w:gridCol w:w="1463"/>
        <w:gridCol w:w="1474"/>
        <w:gridCol w:w="109"/>
        <w:gridCol w:w="109"/>
        <w:gridCol w:w="109"/>
        <w:gridCol w:w="263"/>
        <w:gridCol w:w="1034"/>
        <w:gridCol w:w="137"/>
        <w:gridCol w:w="109"/>
        <w:gridCol w:w="109"/>
        <w:gridCol w:w="109"/>
        <w:gridCol w:w="109"/>
        <w:gridCol w:w="109"/>
        <w:gridCol w:w="109"/>
        <w:gridCol w:w="109"/>
        <w:gridCol w:w="211"/>
        <w:gridCol w:w="826"/>
        <w:gridCol w:w="109"/>
        <w:gridCol w:w="109"/>
        <w:gridCol w:w="109"/>
        <w:gridCol w:w="109"/>
        <w:gridCol w:w="109"/>
        <w:gridCol w:w="109"/>
        <w:gridCol w:w="241"/>
        <w:gridCol w:w="947"/>
        <w:gridCol w:w="181"/>
      </w:tblGrid>
      <w:tr>
        <w:trPr/>
        <w:tc>
          <w:tcPr>
            <w:tcW w:w="168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169" w:type="dxa"/>
            <w:gridSpan w:val="12"/>
            <w:tcBorders/>
          </w:tcPr>
          <w:p>
            <w:pPr>
              <w:pStyle w:val="TableContents"/>
              <w:bidi w:val="0"/>
              <w:spacing w:before="0" w:after="283"/>
              <w:jc w:val="left"/>
              <w:rPr>
                <w:sz w:val="4"/>
                <w:szCs w:val="4"/>
              </w:rPr>
            </w:pPr>
            <w:r>
              <w:rPr>
                <w:sz w:val="4"/>
                <w:szCs w:val="4"/>
              </w:rPr>
            </w:r>
          </w:p>
        </w:tc>
      </w:tr>
      <w:tr>
        <w:trP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169" w:type="dxa"/>
            <w:gridSpan w:val="12"/>
            <w:tcBorders/>
          </w:tcPr>
          <w:p>
            <w:pPr>
              <w:pStyle w:val="TableContents"/>
              <w:bidi w:val="0"/>
              <w:spacing w:before="0" w:after="283"/>
              <w:jc w:val="left"/>
              <w:rPr>
                <w:sz w:val="4"/>
                <w:szCs w:val="4"/>
              </w:rPr>
            </w:pPr>
            <w:r>
              <w:rPr>
                <w:sz w:val="4"/>
                <w:szCs w:val="4"/>
              </w:rPr>
            </w:r>
          </w:p>
        </w:tc>
      </w:tr>
      <w:tr>
        <w:trPr/>
        <w:tc>
          <w:tcPr>
            <w:tcW w:w="4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 Environmental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 Rail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Totals</w:t>
            </w:r>
          </w:p>
        </w:tc>
      </w:tr>
      <w:tr>
        <w:trPr/>
        <w:tc>
          <w:tcPr>
            <w:tcW w:w="46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Primary Geographical Markets </w:t>
            </w:r>
            <w:r>
              <w:rPr>
                <w:rFonts w:ascii="Times New Roman;serif" w:hAnsi="Times New Roman;serif"/>
                <w:b/>
                <w:color w:val="000000"/>
                <w:sz w:val="16"/>
              </w:rPr>
              <w:t>(a)</w:t>
            </w:r>
            <w:r>
              <w:rPr>
                <w:rFonts w:ascii="Times New Roman;serif" w:hAnsi="Times New Roman;serif"/>
                <w:b/>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Latin America </w:t>
            </w: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Eastern Europe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501,115 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629,025 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Product and Service Groups: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 related to resource recovery for metals manufacturing and related logistical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systems for aluminum dross and scrap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track maintenance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After-market parts and services; safety and diagnostic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Railway contracting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501,115 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629,025 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Revenues are attributed to individual countries based on the location of the facility generating the revenue.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Includes Mexico.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may receive payments in advance of earning revenue (advances on contracts), which are included in Current portion of advances on contracts and Other liabilities on the Condensed Consolidated Balance Sheets. The Company may recognize revenue in advance of being able to contractually invoice the customer (contract assets), which is included in Current portion of contract assets and Other assets on the Condensed Consolidated Balance Sheets. Contract assets are transferred to Trade accounts receivable, net, when the right to payment becomes unconditional. Contract assets and advances on contracts are reported as a net position, on a contract-by-contract basis, at the end of each reporting period. These instances are primarily related to Rail.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contract assets totaling $32.5 million and $69.1 million at June 30, 2026 and December 31, 2025, respectively. The Company had advances on contracts totaling $9.0 million and $8.2 million at June 30, 2026 and December 31, 2025, respectively. The decrease in contract assets is due principally to the Company's decision to exit the Network Rail and Deutsche Bahn contracts, as discussed in further detail in Note 3, Contract Exits. During the three and six months ended June 30, 2026, the Company recognized $1.4 million and $6.1 million, respectively, of revenue related to amounts previously included in advances on contracts. During the three and six months ended June 30, 2025, the Company recognized revenues of $4.8 million and $22.4 million, respectively, related to amounts previously included in advances on contracts.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represents the expected fulfillment year of Company's fixed, unsatisfied performance obligations, where the expected contract duration exceeds one year, by segment, and excludes any variable fees, fixed fees subject to indexation and any performance obligations expected to be satisfied within one year:</w:t>
      </w:r>
    </w:p>
    <w:tbl>
      <w:tblPr>
        <w:tblW w:w="6609" w:type="dxa"/>
        <w:jc w:val="left"/>
        <w:tblInd w:w="0" w:type="dxa"/>
        <w:tblLayout w:type="fixed"/>
        <w:tblCellMar>
          <w:top w:w="28" w:type="dxa"/>
          <w:left w:w="28" w:type="dxa"/>
          <w:bottom w:w="28" w:type="dxa"/>
          <w:right w:w="28" w:type="dxa"/>
        </w:tblCellMar>
      </w:tblPr>
      <w:tblGrid>
        <w:gridCol w:w="1247"/>
        <w:gridCol w:w="1100"/>
        <w:gridCol w:w="1103"/>
        <w:gridCol w:w="109"/>
        <w:gridCol w:w="109"/>
        <w:gridCol w:w="109"/>
        <w:gridCol w:w="236"/>
        <w:gridCol w:w="826"/>
        <w:gridCol w:w="124"/>
        <w:gridCol w:w="109"/>
        <w:gridCol w:w="109"/>
        <w:gridCol w:w="109"/>
        <w:gridCol w:w="211"/>
        <w:gridCol w:w="736"/>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Harsco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Environmental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Harsco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Rail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14,568</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14,357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remaining performance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52,221</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Rail has been manufacturing ETO equipment under significant long-term, fixed-price contracts with SBB, Network Rail, and Deutsche Bahn. As previously disclosed, the Company had recognized estimated forward loss provisions related to these contracts due to several factors, such as material and labor cost inflation, supply chain delays, the bankruptcy of key vendors, increased engineering efforts and challenges encountered with homologation and commissioning of equipment.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3, Contract Exits, the Company recorded a loss of $207.4 million during the second quarter of 2026 related to the exits of the Network Rail and Deutsche Bahn contracts.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 the Network Rail contract, during the three months ended June 30, 2025, the Company recorded a forward loss provision of $10.2 million primarily related to increased estimated manufacturing and material costs. For the six months ended June 30, 2025, the forward loss provision totaled $11.3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no adjustment was made to the forward loss provision for the Deutsche Bahn contract. During the six months ended June 30, 2025, the Company recorded a net favorable adjustment of $13.3 million that was the result of an amendment to the contract with Deutsche Bahn which included additional pricing, as well as an extension of the delivery schedule for the machines which resulted in a reduction of the previous estimate of penalties. The increased pricing and reduction of penalties were recorded as an increase to revenue. Partially offsetting this were higher estimated material, manufacturing and engineering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manufacture equipment under the SBB contract. For the six months ended June 30, 2026, no adjustment was made to the forward loss provision. For the three months ended June 30, 2025, the Company recorded a loss provision of $4.8 million due to higher estimated commissioning, manufacturing, assembly, and logistics costs due as progress was made towards prototype commissioning of the universal vehicle during the quarter. For the six months ended June 30, 2025, the forward loss provision totaled $5.9 million.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forward loss provision for the SBB contract represents the Company's best estimate based on currently available information. It is possible that the Company's overall estimate of costs to complete this contract may change, which could result in an additional estimated forward loss provision at such time that could be material in any one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contract with SBB is 92% complete, based on costs incurred under the cost-to-cost method to measure progress.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assurance type warranties primarily for product sales at Rail. These warranties are typically not priced or negotiated separately (there is no option to separately purchase the warranty) or the warranty does not provide customers with a service in addition to the assurance that the product complies with agreed-upon specifications. Accordingly, such warranties do not represent separate performance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19. Other Expense (Income),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major components of this Condensed Consolidated Statements of Operations caption were as follows: </w:t>
      </w:r>
    </w:p>
    <w:p>
      <w:pPr>
        <w:pStyle w:val="TextBody"/>
        <w:bidi w:val="0"/>
        <w:spacing w:before="0" w:after="0"/>
        <w:jc w:val="left"/>
        <w:rPr/>
      </w:pPr>
      <w:r>
        <w:rPr/>
      </w:r>
    </w:p>
    <w:tbl>
      <w:tblPr>
        <w:tblW w:w="8337" w:type="dxa"/>
        <w:jc w:val="left"/>
        <w:tblInd w:w="0" w:type="dxa"/>
        <w:tblLayout w:type="fixed"/>
        <w:tblCellMar>
          <w:top w:w="28" w:type="dxa"/>
          <w:left w:w="28" w:type="dxa"/>
          <w:bottom w:w="28" w:type="dxa"/>
          <w:right w:w="28" w:type="dxa"/>
        </w:tblCellMar>
      </w:tblPr>
      <w:tblGrid>
        <w:gridCol w:w="1086"/>
        <w:gridCol w:w="956"/>
        <w:gridCol w:w="958"/>
        <w:gridCol w:w="109"/>
        <w:gridCol w:w="109"/>
        <w:gridCol w:w="109"/>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costs for exit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related to the Transactions </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38,180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(a) Includes costs related to the Transactions. For the three months ended June 30, 2026, these costs are employee termination benefit costs including change-in-control payments to former management and retention payments of $14.3 million, accelerated stock compensation expense and related costs of $12.5 million and certain transaction related costs of $1.3 million. For the</w:t>
      </w:r>
      <w:r>
        <w:rPr>
          <w:color w:val="000000"/>
        </w:rPr>
        <w:t xml:space="preserve"> </w:t>
      </w:r>
      <w:r>
        <w:rPr>
          <w:rFonts w:ascii="Times New Roman;serif" w:hAnsi="Times New Roman;serif"/>
          <w:b w:val="false"/>
          <w:color w:val="000000"/>
          <w:sz w:val="18"/>
        </w:rPr>
        <w:t xml:space="preserve">six months ended June 30, 2026, these costs are employee termination benefit costs including change-in-control payments to former management and retention payments of $14.3 million, accelerated stock compensation expense and related costs of $12.5 million and certain transaction related costs of $2.7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 Components of Accumulated Other Comprehensive Loss*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AOCI is included on the Condensed Consolidated Statements of Equity. The components of AOCI, net of the effect of income taxes, and activity for the six months ended June 30, 2026 and 2025, were as follows: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1"/>
        <w:gridCol w:w="377"/>
        <w:gridCol w:w="379"/>
        <w:gridCol w:w="109"/>
        <w:gridCol w:w="109"/>
        <w:gridCol w:w="109"/>
        <w:gridCol w:w="264"/>
        <w:gridCol w:w="1074"/>
        <w:gridCol w:w="136"/>
        <w:gridCol w:w="109"/>
        <w:gridCol w:w="109"/>
        <w:gridCol w:w="109"/>
        <w:gridCol w:w="307"/>
        <w:gridCol w:w="920"/>
        <w:gridCol w:w="160"/>
        <w:gridCol w:w="109"/>
        <w:gridCol w:w="109"/>
        <w:gridCol w:w="109"/>
        <w:gridCol w:w="278"/>
        <w:gridCol w:w="1135"/>
        <w:gridCol w:w="143"/>
        <w:gridCol w:w="109"/>
        <w:gridCol w:w="109"/>
        <w:gridCol w:w="109"/>
        <w:gridCol w:w="371"/>
        <w:gridCol w:w="663"/>
        <w:gridCol w:w="193"/>
        <w:gridCol w:w="109"/>
        <w:gridCol w:w="109"/>
        <w:gridCol w:w="109"/>
        <w:gridCol w:w="211"/>
        <w:gridCol w:w="847"/>
        <w:gridCol w:w="161"/>
      </w:tblGrid>
      <w:tr>
        <w:trPr/>
        <w:tc>
          <w:tcPr>
            <w:tcW w:w="9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Components of AOCI, Net of Tax</w:t>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Foreign Exchange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Portion of Derivatives Designated as Hedging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Unrecognized Actuarial Losses on Pension 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(315,450)</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(514,481)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OCI before reclassifications </w:t>
            </w:r>
            <w:r>
              <w:rPr>
                <w:rFonts w:ascii="Times New Roman;serif" w:hAnsi="Times New Roman;serif"/>
                <w:b w:val="false"/>
                <w:color w:val="000000"/>
                <w:sz w:val="13"/>
              </w:rPr>
              <w:t>(a)(b)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OCI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OCI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(195,820)</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2,729</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(302,221)</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(495,267)</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5"/>
        <w:gridCol w:w="383"/>
        <w:gridCol w:w="384"/>
        <w:gridCol w:w="109"/>
        <w:gridCol w:w="109"/>
        <w:gridCol w:w="109"/>
        <w:gridCol w:w="602"/>
        <w:gridCol w:w="450"/>
        <w:gridCol w:w="451"/>
        <w:gridCol w:w="109"/>
        <w:gridCol w:w="109"/>
        <w:gridCol w:w="109"/>
        <w:gridCol w:w="469"/>
        <w:gridCol w:w="469"/>
        <w:gridCol w:w="470"/>
        <w:gridCol w:w="109"/>
        <w:gridCol w:w="109"/>
        <w:gridCol w:w="109"/>
        <w:gridCol w:w="604"/>
        <w:gridCol w:w="505"/>
        <w:gridCol w:w="507"/>
        <w:gridCol w:w="109"/>
        <w:gridCol w:w="109"/>
        <w:gridCol w:w="109"/>
        <w:gridCol w:w="413"/>
        <w:gridCol w:w="413"/>
        <w:gridCol w:w="414"/>
        <w:gridCol w:w="109"/>
        <w:gridCol w:w="109"/>
        <w:gridCol w:w="109"/>
        <w:gridCol w:w="423"/>
        <w:gridCol w:w="424"/>
        <w:gridCol w:w="234"/>
      </w:tblGrid>
      <w:tr>
        <w:trPr/>
        <w:tc>
          <w:tcPr>
            <w:tcW w:w="95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Components of AOCI, Net of Tax</w:t>
            </w:r>
          </w:p>
        </w:tc>
      </w:tr>
      <w:tr>
        <w:trPr/>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Foreign Exchange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Portion of Derivatives Designated as Hedging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Unrecognized Actuarial Losses on Pension 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(229,257)</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(311,919)</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(537,385)</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OCI before reclassifications</w:t>
            </w:r>
            <w:r>
              <w:rPr>
                <w:color w:val="000000"/>
              </w:rPr>
              <w:t xml:space="preserve"> </w:t>
            </w:r>
            <w:r>
              <w:rPr>
                <w:rFonts w:ascii="Times New Roman;serif" w:hAnsi="Times New Roman;serif"/>
                <w:b w:val="false"/>
                <w:color w:val="000000"/>
                <w:sz w:val="13"/>
              </w:rPr>
              <w:t>(a)(b)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36,903 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(24,298)</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36,903 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17,074 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OCI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35,748 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(193,509)</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(327,157)</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(521,466)</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(a)    </w:t>
      </w:r>
      <w:r>
        <w:rPr>
          <w:rFonts w:ascii="Times New Roman;serif" w:hAnsi="Times New Roman;serif"/>
          <w:b w:val="false"/>
          <w:color w:val="000000"/>
          <w:sz w:val="18"/>
        </w:rPr>
        <w:t>The cumulative amounts from foreign exchange translation and unrecognized actuarial losses on pension obligations are principally from foreign currency fluctuation.</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The amounts related to the effective portion of derivatives designated as hedging instruments are due to the net change from periodic revaluations.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were as follows:</w:t>
      </w:r>
    </w:p>
    <w:tbl>
      <w:tblPr>
        <w:tblW w:w="10205" w:type="dxa"/>
        <w:jc w:val="left"/>
        <w:tblInd w:w="0" w:type="dxa"/>
        <w:tblLayout w:type="fixed"/>
        <w:tblCellMar>
          <w:top w:w="28" w:type="dxa"/>
          <w:left w:w="28" w:type="dxa"/>
          <w:bottom w:w="28" w:type="dxa"/>
          <w:right w:w="28" w:type="dxa"/>
        </w:tblCellMar>
      </w:tblPr>
      <w:tblGrid>
        <w:gridCol w:w="1148"/>
        <w:gridCol w:w="695"/>
        <w:gridCol w:w="697"/>
        <w:gridCol w:w="109"/>
        <w:gridCol w:w="109"/>
        <w:gridCol w:w="109"/>
        <w:gridCol w:w="211"/>
        <w:gridCol w:w="631"/>
        <w:gridCol w:w="109"/>
        <w:gridCol w:w="109"/>
        <w:gridCol w:w="109"/>
        <w:gridCol w:w="109"/>
        <w:gridCol w:w="211"/>
        <w:gridCol w:w="616"/>
        <w:gridCol w:w="109"/>
        <w:gridCol w:w="109"/>
        <w:gridCol w:w="109"/>
        <w:gridCol w:w="109"/>
        <w:gridCol w:w="211"/>
        <w:gridCol w:w="648"/>
        <w:gridCol w:w="109"/>
        <w:gridCol w:w="109"/>
        <w:gridCol w:w="109"/>
        <w:gridCol w:w="109"/>
        <w:gridCol w:w="211"/>
        <w:gridCol w:w="616"/>
        <w:gridCol w:w="109"/>
        <w:gridCol w:w="109"/>
        <w:gridCol w:w="109"/>
        <w:gridCol w:w="109"/>
        <w:gridCol w:w="655"/>
        <w:gridCol w:w="655"/>
        <w:gridCol w:w="929"/>
      </w:tblGrid>
      <w:tr>
        <w:trPr/>
        <w:tc>
          <w:tcPr>
            <w:tcW w:w="114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5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on the Condensed Consolidated Statements of Operations</w:t>
            </w:r>
          </w:p>
        </w:tc>
      </w:tr>
      <w:tr>
        <w:trPr/>
        <w:tc>
          <w:tcPr>
            <w:tcW w:w="25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22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22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7665" w:type="dxa"/>
            <w:gridSpan w:val="30"/>
            <w:tcBorders/>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 of cash flow hedging instruments:</w:t>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exchange forward contracts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 of cash flow hedging instruments,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Amortization of defined benefit pension items </w:t>
            </w:r>
            <w:r>
              <w:rPr>
                <w:rFonts w:ascii="Times New Roman;serif" w:hAnsi="Times New Roman;serif"/>
                <w:b/>
                <w:color w:val="000000"/>
                <w:sz w:val="12"/>
              </w:rPr>
              <w:t>(c)</w:t>
            </w:r>
            <w:r>
              <w:rPr>
                <w:rFonts w:ascii="Times New Roman;serif" w:hAnsi="Times New Roman;serif"/>
                <w:b/>
                <w:color w:val="000000"/>
                <w:sz w:val="20"/>
              </w:rPr>
              <w:t>:</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income (expense)</w:t>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income (expense)</w:t>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 of defined benefit pension items,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    These AOCI components are included in the computation of net periodic pension costs. See Note 10, Employee Benefit Plans, for additional details.</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Previously issued 2025 amounts have been revised due to the correction of immaterial errors, as identified in Note 1, Basis of Presentation under "Revision of Previously Issued Financial Statements".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90"/>
        <w:jc w:val="left"/>
        <w:rPr/>
      </w:pPr>
      <w:r>
        <w:rPr>
          <w:rFonts w:ascii="Times New Roman;serif" w:hAnsi="Times New Roman;serif"/>
          <w:b/>
          <w:color w:val="000000"/>
          <w:sz w:val="20"/>
          <w:u w:val="single"/>
        </w:rPr>
        <w:t>ITEM 2.</w:t>
      </w:r>
      <w:r>
        <w:rPr>
          <w:color w:val="000000"/>
        </w:rPr>
        <w:t xml:space="preserve">                 </w:t>
      </w:r>
      <w:r>
        <w:rPr>
          <w:rFonts w:ascii="Times New Roman;serif" w:hAnsi="Times New Roman;serif"/>
          <w:b/>
          <w:color w:val="000000"/>
          <w:sz w:val="20"/>
          <w:u w:val="single"/>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accompanying unaudited condensed consolidated financial statements as well as the audited consolidated financial statements of the Company, including the notes thereto, included in the Company’s Information Statement (the "Information Statement"), dated May 8, 2026, attached as Exhibit 99.1 to the Company's Current Report on Form 8-K furnished to the SEC on May 11, 2026, which includes additional information about the Company’s critical accounting policies, contractual obligations, practices and the transactions that support the financial results, and provides a more comprehensive summary of the Company’s outlook, trends and strategies for 2026 and beyond.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Spin-Off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the Transactions were completed, resulting in, among other things, the Company owning all of the equity interests in Enviri LLC, Enviri LLC holding the Harsco Environmental and Rail segments and Veolia acquiring 100% of Clean Earth. The aggregate consideration paid by Veolia to acquire Clean Earth was $3.0 billion, subject to customary adjustments. Of such aggregate consideration, $1.3 billion was paid directly to the stockholders of CE Holdings, the former stockholders of Legacy Enviri, with the remaining $1.7 billion paid to Enviri LLC, as successor by merger to Legacy Enviri, pursuant to the CE Holdings Note to Enviri LLC in connection with the Reorganization, in which the amount was used primarily for the repayment of the Company's indebtedness, the termination of the AR Facility, the payment of transaction expenses and to retain cash to support Harsco Rail’s large European engineered-to-order rail contracts. The Transactions will not result in any material cash tax expense to Enviri LLC, as successor by merger to Legacy Enviri, or the Company. Prior to the completion of the Spin-Off, the Company did not engage in any business activities other than in connection with the transactions contemplated by the Separation Agreement and the Merger Agreement and had no material assets or liabilities of any kind.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 Holdings, which holds Clean Earth, and the Company entered into a Transition Services Agreement on June 1, 2026, pursuant to which the Company provides certain services to CE Holdings on an interim, transitional basis. The services provided will include finance, legal, human resources, information technology, facilities and other general and administrative functions. The Transition Services Agreement specifies the fees payable for these services. The Transition Services Agreement will terminate on the expiration of the term of the last service provided under it, which is up to twelve months following the closing of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Spin-Off, the Company is subject to the reporting requirements of the Securities Exchange Act of 1934 (the "Exchange Act"). We are required to maintain policies, procedures and practices as a separate, public company necessary to comply with our obligations under the Exchange Act and related rules and regulations. As a result, we are incurring additional costs, including internal audit, investor relations, stock administration and regulatory compliance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legal form of the Spin-Off described elsewhere in this Quarterly Report on Form 10-Q, the Company is treated as the “accounting spinnor” of CE Holdings and is the “accounting successor” to Legacy Enviri for accounting and financial reporting purposes. Therefore, the historical financial statements of the Company, with respect to periods prior to June 1, 2026, have been represented by the historical financial statements of Legacy Enviri and the results of Clean Earth are reported as discontinued operations, in accordance with Accounting Standards Codification ("ASC") 205-20, Discontinued Operations. As such, the Company's Condensed Consolidated Statements of Operations for the three and six months ended June 30, 2025 have been recast to reflect the after tax operating results of CE. In addition, certain costs related to the Transactions, interest expense related to the portion of the Company's total debt that was required to be repaid on June 1, 2026 and fees related to the Company's AR Facility that was required to be terminated at the closing of the Transactions, are also reflected in Income (loss) from discontinued operations, net of tax. CE's assets and liabilities have been reclassified as held-for-sale in the Company's Consolidated Balance Sheets as of December 31, 2025, which were previously classified as held-for-use.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nature of the Company's business, together with the number of countries in which it operates, subject it to changing economic, competitive, regulatory and technological conditions, risks and uncertainties. In accordance with the "safe harbor" provisions of Section 27A of the Securities Act of 1933 and Section 21E of the Exchange Act, the Company provides the following cautionary remarks regarding important factors that, among others, could cause future results to differ materially from the results contemplated by forward-looking statements, including the expectations and assumptions expressed or implied herein. Forward-looking statements contained herein could include, among other things, statements about management's confidence in and strategies for performance;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Factors that could cause actual results to differ, perhaps materially, from those implied by forward-looking statements include, but are not limited to: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possibility that the Merger and Separation may not ultimately achieve the expected benefits;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Company's ability to effectively implement its business strategy and improvement initiatives and realize the expected benefits therefrom;</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Company's ability to successfully enter into new contracts and complete new acquisitions, divestitures, or strategic ventures in the time-frame contemplated or at all;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Company’s inability to comply with applicable environmental and safety laws and regulations;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Company’s inability to obtain, renew, or maintain compliance with its operating permits or license agreements;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(6)various economic, business, and regulatory risks associated with the industries in which the Company operates;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(7)the seasonal nature of the Company's business;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(8)risks caused by customer concentration, fixed-price and long-term customer contracts, especially those related to complex engineered equipment and the competitive nature of the industries in which the Company operates;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(9)the outcome of any disputes with customers, contractors and subcontractors;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(10)the financial condition of the Company's customers, including the ability of customers (especially those that may be highly leveraged or have inadequate liquidity) to maintain their credit availability;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(11)higher than expected claims under the Company’s insurance policies, or losses that are uninsurable or that exceed existing insurance coverage;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(12)market and competitive changes, including pricing pressures, market demand and acceptance for new products, services and technologies; changes in currency exchange rates, interest rates, commodity and fuel costs and capital costs;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(13)the Company's ability to negotiate, complete, and integrate strategic transactions and joint ventures with strategic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(14)the Company’s ability to attract and effectively retain key management and employees, including due to unanticipated changes to demand for the Company’s services, disruptions associated with labor disputes, and increased operating costs associated with union organizations;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(15)the Company's inability or failure to protect its intellectual property rights from infringement in one or more of the many countries in which the Company operates;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(16)failure to effectively prevent, detect or recover from breaches in the Company's cybersecurity infrastructure;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(17)changes in the worldwide business environment in which the Company operates, including changes in general economic and industry conditions and cyclical slowdowns impacting the steel and aluminum industries;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(18)fluctuations in exchange rates between the U.S. dollar and other currencies in which the Company conducts business;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(19)unforeseen business disruptions in one or more of the many countries in which the Company operates due to changes in economic conditions, changes in governmental laws and regulations, including environmental, occupational health and safety, tax and import tariff standards and amounts; political instability, civil disobedience, armed hostilities, public health issues or other calamities;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(20)liability for and implementation of environmental remediation matters;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(21)product liability and warranty claims associated with the Company’s operations;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(22)the Company’s ability to comply with financial covenants and obligations to financial counterparties;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(23)the Company’s outstanding indebtedness and exposure to derivative financial instruments that may be impacted by, among other factors, changes in interest rates;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(24)tax liabilities and changes in tax laws;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(25)changes in the performance of equity and bond markets that could affect, among other things, the valuation of the assets in the Company's pension plans and the accounting for pension assets, liabilities and expenses;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(26)risk and uncertainty associated with intangible assets;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(27)the other risk factors listed from time to time in the Company's SEC reports.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further discussion of these, along with other potential risk factors, can be found under the heading, "Risk Factors," of the Company's Information Statement, dated May 8, 2026, attached as Exhibit 99.1 to the Company's Current Report on Form 8-K furnished to the SEC on May 11, 2026 and in Part II, Item 1A, "Risk Factors" of this Quarterly Report on Form 10-Q. The Company cautions that these factors may not be exhaustive and that many of these factors are beyond the Company's ability to control or predict. Accordingly, forward-looking statements should not be relied upon as a prediction of actual results. The Company undertakes no duty to update forward-looking statements except as may be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market-leading, global provider of critical environmental services and materials processing to the metals industry, and innovative equipment and technology for the rail sector. The Company has locations in approximately 30 countries, including the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operations from continuing operations consist of two reportable segments: Harsco Environmental and Harsco Rail. HE operates primarily under long-term contracts, providing critical environmental services and material processing to the global steel and metals industries, including zero waste solutions for manufacturing byproducts within the metals industry. Rail is a provider of highly engineered maintenance equipment, after-market parts and safety and diagnostic systems and contracting solutions, which support railroad and transit customers worldwide.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in a complex global environment that is increasingly shaped by interventionist trade policy, protectionist measures such as tariffs and import quotas, and geopolitical uncertainty. These factors can materially influence steel production levels, customer demand, supply chains, energy costs, and overall economic activity across our markets.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Recent U.S. and European trade measures may positively impact domestic steel production and strengthen the competitiveness of certain customers while also adversely impacting steel production in other countries where the Company and its customers operate. These include US steel tariffs that became effective in early 2025 and updates to EU steel import quotas and tariffs that became effective in July 2026. Although these actions may create regional opportunities, they can also result in shifts in production volumes, competitive dynamics, cost structures, and investment decisions that may affect our business in unpredictable ways.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ongoing geopolitical tensions, including conflict in the Middle East, continue to contribute to energy price volatility and broader macroeconomic uncertainty. These conditions may impact customer operating levels, project execution, and input costs. The Company remains focused on mitigating these risks through disciplined commercial management, proactive customer engagement, contractual price-escalation mechanisms, and continuous monitoring of market, trade, and geopolitical developments, while positioning the business to capture opportunities arising from evolving market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as previously described above, the Company completed the Transactions, which included the sale of CE for $3.0 billion. The proceeds from the sale were partially used to repay certain of the Company's indebtedness, which included the full repayment of $628.0 million previously outstanding on the Revolving Credit Facility, partial repayment of $105.6 million of the Term Loan and the $475.0 million redemption of the Senior Notes. In addition, the AR Facility was terminated and $160.0 million of accounts receivable were repurchased from PNC Bank, National Association ("PNC")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Rail had been manufacturing engineered-to-order ("ETO") equipment under significant long-term fixed-price contracts with SBB, Network Rail and Deutsche Bahn. In June 2026, the Company informed Network Rail that it had ceased all activities relating to its ETO contract to build stoneblower rail maintenance vehicles, and the associated manufacturing facilities have been closed. Also, in June 2026, the Company ceased all activities relating to its ETO contract to deliver utility track vehicles with Deutsche Bahn. As a result of these actions, the Company recorded a loss of $207.4 million during the quarter ended June 30, 2026, which includes the non-cash impairment charges of $40.5 million related to net contract assets, $21.5 million of inventory and $12.9 million of prepaid balances specific to the projects, as well as an estimated incremental liability of approximately $133 million to address future obligations related to these contracts. Of this loss, $136.5 million was recorded as a reduction to Product revenues and $70.9 million to Costs of products sold in the Condensed Consolidated Statements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2026, Network Rail notified the Company of its alleged breach under the contract and its intention to reach resolution of contractual damages as a result. The Company intends to vigorously contest any damages based on multiple available defenses. Additionally, the Company has proposed an alternative solution to assist Network Rail in significantly extending the life of their existing fleet of stoneblower machines. It is possible that the estimate of the loss could change based on ongoing discussions with Network Rail or if the ultimate outcome to this matter were to be determined through litigation.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2026, the Company entered into a definitive agreement with Gleisbaumechanik Brandenburg GmbH ("GBM"), a manufacturing partner on the Deutsche Bahn contract, to sell all assets related to the contract, including inventory and intellectual property, to GBM. Future consideration, if any, received from GBM for the asset sale would be recorded as income by the Company in the period the consideration is realized. </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decision to cease performance on these two contracts was taken to eliminate future performance risk, financial statement volatility and future cash outflows related to performing on the contracts. The Company expects these contract exits to conclude its exposure to its legacy ETO contract risks. The Company remains committed to delivering on its remaining contract with SBB. The exit of these contracts will allow Rail to enhance its focus on its core maintenance of way businesses.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Through the proceeds from the CE Holdings Note set aside in the Company's initial balance sheet subsequent to the closing of the Transactions, the Company has sufficient cash available to settle any cash payments required to exit these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Significant Items Impact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and Operating income (loss) from continuing operations were impacted by the following significant items during the three and six months ended June 30, 2026 and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 Revenues: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4"/>
        <w:gridCol w:w="1301"/>
        <w:gridCol w:w="1292"/>
        <w:gridCol w:w="109"/>
        <w:gridCol w:w="109"/>
        <w:gridCol w:w="109"/>
        <w:gridCol w:w="275"/>
        <w:gridCol w:w="275"/>
        <w:gridCol w:w="276"/>
        <w:gridCol w:w="109"/>
        <w:gridCol w:w="109"/>
        <w:gridCol w:w="109"/>
        <w:gridCol w:w="211"/>
        <w:gridCol w:w="674"/>
        <w:gridCol w:w="109"/>
        <w:gridCol w:w="109"/>
        <w:gridCol w:w="109"/>
        <w:gridCol w:w="109"/>
        <w:gridCol w:w="211"/>
        <w:gridCol w:w="406"/>
        <w:gridCol w:w="109"/>
        <w:gridCol w:w="109"/>
        <w:gridCol w:w="109"/>
        <w:gridCol w:w="109"/>
        <w:gridCol w:w="211"/>
        <w:gridCol w:w="674"/>
        <w:gridCol w:w="109"/>
        <w:gridCol w:w="109"/>
        <w:gridCol w:w="109"/>
        <w:gridCol w:w="109"/>
        <w:gridCol w:w="211"/>
        <w:gridCol w:w="526"/>
        <w:gridCol w:w="156"/>
      </w:tblGrid>
      <w:tr>
        <w:trPr/>
        <w:tc>
          <w:tcPr>
            <w:tcW w:w="154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Favorable (Unfavorable) Impact</w:t>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certain estimated forward loss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Operating Income (Loss) from Continuing Operations:</w:t>
      </w:r>
    </w:p>
    <w:tbl>
      <w:tblPr>
        <w:tblW w:w="10205" w:type="dxa"/>
        <w:jc w:val="left"/>
        <w:tblInd w:w="0" w:type="dxa"/>
        <w:tblLayout w:type="fixed"/>
        <w:tblCellMar>
          <w:top w:w="28" w:type="dxa"/>
          <w:left w:w="28" w:type="dxa"/>
          <w:bottom w:w="28" w:type="dxa"/>
          <w:right w:w="28" w:type="dxa"/>
        </w:tblCellMar>
      </w:tblPr>
      <w:tblGrid>
        <w:gridCol w:w="1475"/>
        <w:gridCol w:w="1199"/>
        <w:gridCol w:w="1185"/>
        <w:gridCol w:w="109"/>
        <w:gridCol w:w="109"/>
        <w:gridCol w:w="109"/>
        <w:gridCol w:w="304"/>
        <w:gridCol w:w="304"/>
        <w:gridCol w:w="308"/>
        <w:gridCol w:w="109"/>
        <w:gridCol w:w="109"/>
        <w:gridCol w:w="109"/>
        <w:gridCol w:w="211"/>
        <w:gridCol w:w="669"/>
        <w:gridCol w:w="109"/>
        <w:gridCol w:w="109"/>
        <w:gridCol w:w="109"/>
        <w:gridCol w:w="109"/>
        <w:gridCol w:w="211"/>
        <w:gridCol w:w="564"/>
        <w:gridCol w:w="109"/>
        <w:gridCol w:w="109"/>
        <w:gridCol w:w="109"/>
        <w:gridCol w:w="109"/>
        <w:gridCol w:w="211"/>
        <w:gridCol w:w="669"/>
        <w:gridCol w:w="109"/>
        <w:gridCol w:w="109"/>
        <w:gridCol w:w="109"/>
        <w:gridCol w:w="109"/>
        <w:gridCol w:w="211"/>
        <w:gridCol w:w="564"/>
        <w:gridCol w:w="158"/>
      </w:tblGrid>
      <w:tr>
        <w:trPr/>
        <w:tc>
          <w:tcPr>
            <w:tcW w:w="147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Favorable (Unfavorable) Impact</w:t>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certain estimated forward loss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included in this Part I. Item 2. Results of Operations are rounded in millions and all percentages are calculated on actual amounts. As a result, minor differences may exist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Results</w:t>
      </w:r>
    </w:p>
    <w:tbl>
      <w:tblPr>
        <w:tblW w:w="8610" w:type="dxa"/>
        <w:jc w:val="left"/>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691"/>
        <w:gridCol w:w="301"/>
        <w:gridCol w:w="109"/>
        <w:gridCol w:w="109"/>
        <w:gridCol w:w="109"/>
        <w:gridCol w:w="211"/>
        <w:gridCol w:w="616"/>
        <w:gridCol w:w="271"/>
        <w:gridCol w:w="109"/>
        <w:gridCol w:w="109"/>
        <w:gridCol w:w="109"/>
        <w:gridCol w:w="211"/>
        <w:gridCol w:w="691"/>
        <w:gridCol w:w="301"/>
        <w:gridCol w:w="109"/>
        <w:gridCol w:w="109"/>
        <w:gridCol w:w="109"/>
        <w:gridCol w:w="211"/>
        <w:gridCol w:w="616"/>
        <w:gridCol w:w="316"/>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Environmental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511.4</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Environmental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Rail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(244.4)</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(250.3)</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Environmental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Harsco 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(280.2)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(1,950.4)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(130.5)</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Harsco Environmental Segment:</w:t>
      </w:r>
    </w:p>
    <w:tbl>
      <w:tblPr>
        <w:tblW w:w="10205" w:type="dxa"/>
        <w:jc w:val="left"/>
        <w:tblInd w:w="0" w:type="dxa"/>
        <w:tblLayout w:type="fixed"/>
        <w:tblCellMar>
          <w:top w:w="28" w:type="dxa"/>
          <w:left w:w="28" w:type="dxa"/>
          <w:bottom w:w="28" w:type="dxa"/>
          <w:right w:w="28" w:type="dxa"/>
        </w:tblCellMar>
      </w:tblPr>
      <w:tblGrid>
        <w:gridCol w:w="2350"/>
        <w:gridCol w:w="2063"/>
        <w:gridCol w:w="2068"/>
        <w:gridCol w:w="109"/>
        <w:gridCol w:w="109"/>
        <w:gridCol w:w="109"/>
        <w:gridCol w:w="353"/>
        <w:gridCol w:w="1059"/>
        <w:gridCol w:w="182"/>
        <w:gridCol w:w="109"/>
        <w:gridCol w:w="109"/>
        <w:gridCol w:w="109"/>
        <w:gridCol w:w="312"/>
        <w:gridCol w:w="932"/>
        <w:gridCol w:w="232"/>
      </w:tblGrid>
      <w:tr>
        <w:trPr/>
        <w:tc>
          <w:tcPr>
            <w:tcW w:w="2350"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Significant Effects on Revenues </w:t>
            </w: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impact of new and lost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effects of price/volume changes, primarily attributable to volume changes and services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266.2</w:t>
            </w: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522.9</w:t>
            </w:r>
            <w:r>
              <w:rPr>
                <w:color w:val="000000"/>
              </w:rPr>
              <w:t> </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contributed to the changes in operating income (loss)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Positively Impacting Operating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revenues from environmental service contracts during the three and six months ended June 30, 2026, when compared with the three and six months ended June 30, 2025, from overall service levels at certain sites, partially offset by an unfavorable service mix and higher costs at certain sites, including higher fuel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three months ended June 30, 2025 included a property, plant and impairment ("PP&amp;E") charge of $7.4 million related to a site exit in Europe, which did not reoccur during the three months ended June 30,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three months and six months ended June 30, 2026 included higher net gains from the sale of assets of $2.5 million and $1.9 million, respectively, when compared to the three and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Negatively Impacting Operating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three months ended June 30, 2026 included $2.3 million of additional expense related to employer payroll taxes arising from the accelerated vesting of the Company's long-term incentive plan equity awards ("LTIP") for certain employees as a result of the closing of the Transactions on June 1, 2026, which did not occur during the three months ended June 30,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Selling, general and administrative expenses ("SG&amp;A") were negatively impacted by changes to the Company's provision for expected credit losses by $2.2 million and $2.3 million during the three and six months ended June 30, 2026, respectively, compared to the three and six months ended June 30, 2025, primarily due to the recovery of a previously reserved trade accounts receivable during the three months ended June 30, 2025 that did not repeat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Harsco Rail Segment:</w:t>
      </w:r>
    </w:p>
    <w:tbl>
      <w:tblPr>
        <w:tblW w:w="10205" w:type="dxa"/>
        <w:jc w:val="left"/>
        <w:tblInd w:w="0" w:type="dxa"/>
        <w:tblLayout w:type="fixed"/>
        <w:tblCellMar>
          <w:top w:w="28" w:type="dxa"/>
          <w:left w:w="28" w:type="dxa"/>
          <w:bottom w:w="28" w:type="dxa"/>
          <w:right w:w="28" w:type="dxa"/>
        </w:tblCellMar>
      </w:tblPr>
      <w:tblGrid>
        <w:gridCol w:w="2259"/>
        <w:gridCol w:w="1986"/>
        <w:gridCol w:w="1991"/>
        <w:gridCol w:w="109"/>
        <w:gridCol w:w="109"/>
        <w:gridCol w:w="109"/>
        <w:gridCol w:w="403"/>
        <w:gridCol w:w="1122"/>
        <w:gridCol w:w="208"/>
        <w:gridCol w:w="109"/>
        <w:gridCol w:w="109"/>
        <w:gridCol w:w="109"/>
        <w:gridCol w:w="339"/>
        <w:gridCol w:w="991"/>
        <w:gridCol w:w="252"/>
      </w:tblGrid>
      <w:tr>
        <w:trPr/>
        <w:tc>
          <w:tcPr>
            <w:tcW w:w="225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909" w:type="dxa"/>
            <w:gridSpan w:val="6"/>
            <w:tcBorders/>
          </w:tcPr>
          <w:p>
            <w:pPr>
              <w:pStyle w:val="TableContents"/>
              <w:bidi w:val="0"/>
              <w:spacing w:before="0" w:after="283"/>
              <w:jc w:val="left"/>
              <w:rPr>
                <w:sz w:val="4"/>
                <w:szCs w:val="4"/>
              </w:rPr>
            </w:pPr>
            <w:r>
              <w:rPr>
                <w:sz w:val="4"/>
                <w:szCs w:val="4"/>
              </w:rPr>
            </w:r>
          </w:p>
        </w:tc>
      </w:tr>
      <w:tr>
        <w:trPr/>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Effects on Revenue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price/volume changes, primarily attributable to volume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related to the exit of certain contracts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related to certain estimated forward loss provisions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(78.8)</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Due to the Company's decision to exit its long-term contracts with Network Rail and Deutsche Bahn during the three and six months ended June 30, 2026 for the manufacturing of certain equipment, as referenced above in Executive Overview.</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Due to an amendment to the Deutsche Bahn contract during the six months ended June 30, 2025, as referenced in Note 18, Revenues in Item I.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factors contributed to the changes in operating income (loss)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Positively Impacting Operating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sales from after-market parts due to higher demand during the three months ended June 30, 2026 from the three months ended June 30, 2025 increased operating by $1.7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three and six months ended June 30, 2025 included a loss related to the net change in forward estimated loss provisions of $15.9 million and $5.4 million, respectively, related to the Company's Network Rail, Deutsche Bahn and SBB contracts, which did not reoccur during the three and six months ended June 30, 2026. See Note 18, Revenues in Part I. Financial Statements for further discussions.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Negatively Impacting Operating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total net loss of $207.4 million recognized during the three months ended June 30, 2026 related to the Company's decision to exit its contracts with Network Rail and Deutsche Bahn, which includes the impairment of net contract assets, inventory and prepaid balances specific to the projects, as well as an estimated incremental liability to address future obligations related to these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costs from employee termination benefits and other related costs pertaining to restructuring activities of $7.4 million and $7.8 million during the three and six months ended June 30, 2026, when compared to the three and six months ended June 30, 2025, principally as a result of the Company's decision to exit the Network Rail and Deutsche Bahn contracts, as discussed above, as well as to streamline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of $3.3 million in operating income due to lower volumes from railway contracting services during the three months ended June 30, 2026 compared to the three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General Corporate: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 was negatively impacted by costs of $26.2 million and $27.6 million during the three and six months ended June 30, 2026, respectively, related to the Transactions that closed on June 1, 2026. These amounts include employee termination benefit costs, including change-in-control payments to former management and retention payments, of $14.3 million for both the three and six months ended June 30, 2026, incremental stock-based compensation related to the accelerated vesting on LTIP's issued to certain employees and related costs of $10.2 million for both the three and six months ended June 30, 2026 and other transaction costs of $1.3 million and $2.7 million for the three and six months ended June 30, 2026, respectively. These unfavorable impacts were partially offset by decreases in SG&amp;A for $5.9 million and $7.0 million for the three and six months ended June 30, 2026, respectively, when compared to the same periods in 2025. SG&amp;A decreased in the three and six months ended June 30, 2026 primarily due to lower compensation costs from the prior year, including stock-based compensation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w:t>
      </w:r>
    </w:p>
    <w:tbl>
      <w:tblPr>
        <w:tblW w:w="10205" w:type="dxa"/>
        <w:jc w:val="left"/>
        <w:tblInd w:w="0" w:type="dxa"/>
        <w:tblLayout w:type="fixed"/>
        <w:tblCellMar>
          <w:top w:w="28" w:type="dxa"/>
          <w:left w:w="28" w:type="dxa"/>
          <w:bottom w:w="28" w:type="dxa"/>
          <w:right w:w="28" w:type="dxa"/>
        </w:tblCellMar>
      </w:tblPr>
      <w:tblGrid>
        <w:gridCol w:w="1829"/>
        <w:gridCol w:w="1607"/>
        <w:gridCol w:w="1611"/>
        <w:gridCol w:w="109"/>
        <w:gridCol w:w="109"/>
        <w:gridCol w:w="109"/>
        <w:gridCol w:w="211"/>
        <w:gridCol w:w="645"/>
        <w:gridCol w:w="109"/>
        <w:gridCol w:w="109"/>
        <w:gridCol w:w="109"/>
        <w:gridCol w:w="109"/>
        <w:gridCol w:w="211"/>
        <w:gridCol w:w="616"/>
        <w:gridCol w:w="109"/>
        <w:gridCol w:w="109"/>
        <w:gridCol w:w="109"/>
        <w:gridCol w:w="109"/>
        <w:gridCol w:w="211"/>
        <w:gridCol w:w="645"/>
        <w:gridCol w:w="109"/>
        <w:gridCol w:w="109"/>
        <w:gridCol w:w="109"/>
        <w:gridCol w:w="109"/>
        <w:gridCol w:w="211"/>
        <w:gridCol w:w="616"/>
        <w:gridCol w:w="157"/>
      </w:tblGrid>
      <w:tr>
        <w:trPr/>
        <w:tc>
          <w:tcPr>
            <w:tcW w:w="182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 except per share amounts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0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services and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impairment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(250.3)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Facility fees and debt-related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Defined benefit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(loss) from continuing operations before income taxes and equity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(256.3)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(274.4)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benefit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Equity in income (loss) of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benefit (expense) related to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(394.5)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(404.0)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(384.3)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earnings (loss) per common share from continuing operations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Effective income tax rate for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7.9%</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Comparative Analysis of Consolidated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for the three and six months ended June 30, 2026 decreased by $128.6 million, or 40.7%, and $117.6 million, or 18.7%, from the three and six months ended June 30, 2025. Foreign currency translation increased revenues by $1.9 million and $18.5 million during the three and six months ended June 30, 2026, respectively, compared with the same periods in the prior year. Refer to the discussion of segment results above for information pertaining to factors impacting revenues.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Services and Products Sold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products sold for the three and six months ended June 30, 2026 increased by $62.3 million, or 22%, and $86.6 million, or 16.2%, from the three and six months ended June 30, 2025, respectively. The changes in cost of services and products sold were attributable to the following significant items:</w:t>
      </w:r>
    </w:p>
    <w:tbl>
      <w:tblPr>
        <w:tblW w:w="10205" w:type="dxa"/>
        <w:jc w:val="left"/>
        <w:tblInd w:w="0" w:type="dxa"/>
        <w:tblLayout w:type="fixed"/>
        <w:tblCellMar>
          <w:top w:w="28" w:type="dxa"/>
          <w:left w:w="28" w:type="dxa"/>
          <w:bottom w:w="28" w:type="dxa"/>
          <w:right w:w="28" w:type="dxa"/>
        </w:tblCellMar>
      </w:tblPr>
      <w:tblGrid>
        <w:gridCol w:w="2578"/>
        <w:gridCol w:w="2270"/>
        <w:gridCol w:w="2282"/>
        <w:gridCol w:w="109"/>
        <w:gridCol w:w="109"/>
        <w:gridCol w:w="109"/>
        <w:gridCol w:w="287"/>
        <w:gridCol w:w="859"/>
        <w:gridCol w:w="148"/>
        <w:gridCol w:w="109"/>
        <w:gridCol w:w="109"/>
        <w:gridCol w:w="109"/>
        <w:gridCol w:w="237"/>
        <w:gridCol w:w="712"/>
        <w:gridCol w:w="178"/>
      </w:tblGrid>
      <w:tr>
        <w:trPr/>
        <w:tc>
          <w:tcPr>
            <w:tcW w:w="2578"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w:t>
              <w:br/>
              <w:t>Ended</w:t>
            </w:r>
          </w:p>
        </w:tc>
      </w:tr>
      <w:tr>
        <w:trPr/>
        <w:tc>
          <w:tcPr>
            <w:tcW w:w="7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products sold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 in costs due to changes in revenue volume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due to costs and revenue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costs from contract exits in Rail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from cost adjustments as a result of certain estimated forward loss provisions in Rail</w:t>
            </w:r>
            <w:r>
              <w:rPr>
                <w:color w:val="000000"/>
              </w:rPr>
              <w:t xml:space="preserve">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of services and products sold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345.6</w:t>
            </w:r>
            <w:r>
              <w:rPr>
                <w:color w:val="000000"/>
              </w:rPr>
              <w:t>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621.0</w:t>
            </w: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Excludes the adjustments to revenue related to the Company's decision to exit its Network Rail and Deutsche contracts.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 Includes losses incurred related to the Company's decision to exit its Network Rail and Deutsche Bahn contracts.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Includes Network Rail, Deutsche Bahn and SBB contracts during the three and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SG&amp;A for the three and six months ended June 30, 2026 decreased by $4.7 million, or 8.8%, and $4.4 million, or 4.2%, from the three and six months ended June 30, 2025. The decrease was mainly driven by lower compensation costs of $4.6 million and $3.9 million for the three and six months ended months ended June 30, 2026, when compared to the same periods in 2025, primarily in Corporate due to lower stock-based compensation expense due to the timing of vesting of certain grants and the issuance of new grants. In addition, there was a decrease in professional fees of $1.0 million and $3.2 million during the three and six months ended June 30, 2026, when compared to the same periods in 2025, primarily as a result of Corporate costs incurred in 2025 to support and execute certain of the Company's long-term strategies. Partially offsetting these increases was an unfavorable change in the provision for expected credit losses of $2.2 million for both the three and six months ended June 30, 2026, due to the HE recovery of a previously reserved trade accounts receivable during the three months ended June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(Income) Expenses, Net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 components of this Condensed Consolidated Statements of Operations caption are as follows:</w:t>
      </w:r>
    </w:p>
    <w:tbl>
      <w:tblPr>
        <w:tblW w:w="7496" w:type="dxa"/>
        <w:jc w:val="left"/>
        <w:tblInd w:w="0" w:type="dxa"/>
        <w:tblLayout w:type="fixed"/>
        <w:tblCellMar>
          <w:top w:w="28" w:type="dxa"/>
          <w:left w:w="28" w:type="dxa"/>
          <w:bottom w:w="28" w:type="dxa"/>
          <w:right w:w="28" w:type="dxa"/>
        </w:tblCellMar>
      </w:tblPr>
      <w:tblGrid>
        <w:gridCol w:w="1086"/>
        <w:gridCol w:w="954"/>
        <w:gridCol w:w="959"/>
        <w:gridCol w:w="109"/>
        <w:gridCol w:w="109"/>
        <w:gridCol w:w="109"/>
        <w:gridCol w:w="211"/>
        <w:gridCol w:w="526"/>
        <w:gridCol w:w="109"/>
        <w:gridCol w:w="109"/>
        <w:gridCol w:w="109"/>
        <w:gridCol w:w="109"/>
        <w:gridCol w:w="211"/>
        <w:gridCol w:w="406"/>
        <w:gridCol w:w="109"/>
        <w:gridCol w:w="109"/>
        <w:gridCol w:w="109"/>
        <w:gridCol w:w="109"/>
        <w:gridCol w:w="211"/>
        <w:gridCol w:w="526"/>
        <w:gridCol w:w="109"/>
        <w:gridCol w:w="109"/>
        <w:gridCol w:w="109"/>
        <w:gridCol w:w="109"/>
        <w:gridCol w:w="211"/>
        <w:gridCol w:w="40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costs for exit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related to the Transactions </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Includes costs related to the Transactions. For the three and six months ended, this included employee termination benefit costs, including change-in-control payments to former management and retention payments of $14.3 million for both periods, accelerated stock-based compensation expense, including employer payroll taxes of $12.5 million for both periods and certain transaction costs of $1.3 million and $2.7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during the three and six months ended June 30, 2026 decreased by $0.5 million and $0.7 million, compared with the three and six months ended June 30, 2025. This decrease is mainly driven by lower interest rates charged on the Senior Secured Credit Facilities during the three and six months ended June 30, 2026, when compared to the three and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Defined Benefit Pension Income (Expense)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Defined benefit pension expense was $3.9 million and $7.9 million for the three and six months ended June 30, 2026, respectively, compared with $5.6 million and $10.8 million for the three and six months ended June 30, 2025, respectively. This expense decrease is primarily related to a higher expected rate of return on plan assets in the current year, compared to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 for the three and six months ended June 30, 2026 was $40.5 million and $45.7 million, compared to $0.9 million and $4.3 million income tax benefit for the three and six months ended June 30, 2025. The change is primarily due to $34.0 million of tax expense related to the deferred tax asset write-off in the U.S. as a result of Clean Earth divestiture during the three and six months ended June 30, 2026, which did not occur during the three and six months ended June 30, 2025. Additionally, no tax benefit was recorded on the total net loss of $207.4 million recognized during the three and six months ended June 30, 2026 related to the Company's decision to exit its contracts with Network Rail and Deutsche Bahn, as well as on the costs of $28.3 million and $29.7 million during the three and six months ended June 30, 2026, respectively, related to the closing of the Transactions on June 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Income (Loss) from Continuing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was $296.8 million and $320.0 million for the three and six months ended June 30, 2026, respectively, compared to $44.7 million and $50.0 million for the three and six months ended June 30, 2025, respectively. The primary drivers for these changes are noted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Discontinued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results of CE, costs directly attributable to the Transactions, interest expense related to the portion of the Company's total debt that was required to be repaid on June 1, 2026 and fees related to the AR Facility that was required to be terminated at the closing of the Transactions have been reflected as discontinued operations in the Company's Condensed Consolidated Statements of Operations for all periods presented. Additionally, discontinued operations contains costs directly attributable to retained contingent liabilities of other previously disposed businesses, which are not significant.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was $91.9 million and $108.2 million for the three and six months ended June 30, 2026, respectively, compared to income from discontinued operations of $2.2 million and $4.8 million for the three and six months ended June 30, 2025. The unfavorable change during the six months ended June 30, 2026 was primarily driven by costs incurred with the closing of the Transactions on June 1, 2026, which totaled $73.0 million and $84.0 million for the three and six months ended June 30, 2026. The year-over-year change was also impacted by lower operating results for CE and higher expense related to the accelerated stock-based compensation expense and retention payments for CE employees, partially offset by lower interest expense allocated to discontinued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Other Comprehensive Income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was $15.0 million and $19.7 million for the three and six months ended June 30, 2026, respectively, compared to total other comprehensive income of $9.0 million and $17.1 million for the three and six months ended June 30, 2025. For the three months ended June 30, 2026, the primary driver of this increase was the fluctuation of the U.S. dollar against certain currencies, inclusive of the impact of foreign currency translation of cumulative unrecognized actuarial losses on the Company's pension obligations, when compared to the fluctuation of the U.S. dollar against certain currencies during the three months ended June 30, 2025, as well as a favorable change in the valuation of the Company's interest rate swaps. For the six months ended June 30, 2026, the primary driver of the increase was the favorable change in the valuation of the Company's interest rate swaps, partially offset by the fluctuation of the U.S. dollar against certain currencies, inclusive of the impact of foreign currency translation of cumulative unrecognized actuarial losses on the Company's pension obligations, when compared to the fluctuation of the U.S. dollar against certain currencies during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included in this Part I. Item 2. Liquidity and Capital Resources are rounded in millions and all percentages are calculated on actual amounts. As a result, minor differences may exist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there were significant impacts to the Company’s cash flows as a result of the Transactions. The Company received $1.7 billion of proceeds from the Transactions which were used to repay a significant portion of the Company’s debt, repurchase all of the receivables sold under the AR Facility and pay transaction-related costs. In addition, a portion of the proceeds were set aside to support the significant long-term contracts in Rail, including the exit of the Network Rail and Deutsche Bahn contracts. The Revolving Credit Facility’s capacity was reduced to $152.0 million to reflect the requirements of the ongoing business. The Company currently expects to have sufficient financial liquidity and borrowing capacity to support the strategies within each of its businesses. The Company also expects operational and business needs to be met by cash provided by operations, supplemented with borrowings from time-to-time, principally under the Senior Secured Credit Facilities, and by cash proceeds from asset sales. The Company expects the Senior Secured Credit Facilities to be fully available based on continued compliance with the related covenants based on its current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cash flows from operating, investing and financing activities, as reflected on the Condensed Consolidated Statements of Cash Flows, are summarized in the following table:</w:t>
      </w:r>
    </w:p>
    <w:tbl>
      <w:tblPr>
        <w:tblW w:w="9710" w:type="dxa"/>
        <w:jc w:val="left"/>
        <w:tblInd w:w="0" w:type="dxa"/>
        <w:tblLayout w:type="fixed"/>
        <w:tblCellMar>
          <w:top w:w="28" w:type="dxa"/>
          <w:left w:w="28" w:type="dxa"/>
          <w:bottom w:w="28" w:type="dxa"/>
          <w:right w:w="28" w:type="dxa"/>
        </w:tblCellMar>
      </w:tblPr>
      <w:tblGrid>
        <w:gridCol w:w="2592"/>
        <w:gridCol w:w="2281"/>
        <w:gridCol w:w="2296"/>
        <w:gridCol w:w="109"/>
        <w:gridCol w:w="109"/>
        <w:gridCol w:w="109"/>
        <w:gridCol w:w="211"/>
        <w:gridCol w:w="691"/>
        <w:gridCol w:w="109"/>
        <w:gridCol w:w="109"/>
        <w:gridCol w:w="109"/>
        <w:gridCol w:w="109"/>
        <w:gridCol w:w="211"/>
        <w:gridCol w:w="511"/>
        <w:gridCol w:w="154"/>
      </w:tblGrid>
      <w:tr>
        <w:trPr/>
        <w:tc>
          <w:tcPr>
            <w:tcW w:w="259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(used)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including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including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20"/>
        </w:rPr>
        <w:t>Net cash (used) provided by operating activities</w:t>
      </w:r>
      <w:r>
        <w:rPr>
          <w:color w:val="000000"/>
        </w:rPr>
        <w:t xml:space="preserve"> — </w:t>
      </w:r>
      <w:r>
        <w:rPr>
          <w:rFonts w:ascii="Times New Roman;serif" w:hAnsi="Times New Roman;serif"/>
          <w:b w:val="false"/>
          <w:color w:val="000000"/>
          <w:sz w:val="20"/>
        </w:rPr>
        <w:t>Net cash used by operating activities for the six months ended June 30, 2026 was $275.4 million, a decrease in cash flows of $304.0 million from the six months ended June 30, 2025, due to lower cash net income and a net unfavorable change in working capital. The unfavorable change in cash net income is due principally to costs related to the Transactions, as well as the loss related to the exits of the Network Rail and Deutsche Bahn contracts. The unfavorable working capital changes during the six months ended June 30, 2026 were principally attributable to the $160.0 million repurchase of receivables under the Company's AR Facility and the timing of payments for accounts payable, including the payment of accrued costs for the Transactions. These unfavorable working capital changes were partially offset by decreases to working capital, which were primarily the result of the Company's decision to exit certain contracts in Rail and included the estimated incremental liability to address future obligations related to these contracts.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Net cash (used) provided by investing activities</w:t>
      </w:r>
      <w:r>
        <w:rPr>
          <w:color w:val="000000"/>
        </w:rPr>
        <w:t xml:space="preserve"> — </w:t>
      </w:r>
      <w:r>
        <w:rPr>
          <w:rFonts w:ascii="Times New Roman;serif" w:hAnsi="Times New Roman;serif"/>
          <w:b w:val="false"/>
          <w:color w:val="000000"/>
          <w:sz w:val="20"/>
        </w:rPr>
        <w:t>Net cash provided by investing activities during the six months ended June 30, 2026 was $1.6 billion, compared to net cash used by investing activities of $61.2 million during the six months ended June 30, 2025. The increase was driven primarily by the proceeds from the $1.7 billion CE Holdings Note received upon the closing of the Transactions during the six months ended June 30, 2026. Net cash was also favorably impacted by a $5.1 million net favorable change of net proceeds received from the settlement of foreign currency forward exchange contracts, and $3.3 million in higher cash received from the sale of assets, primarily by HE, during the six months ended June 30, 2026. These net inflows were partially offset by a $25.0 million deposit paid in order to secure commercial commitments for certain Rail contracts paid during the six months ended June 30, 2026, which did not occur in 2025, and a $7.7 million increase in payments for capital expenditures during the six months ended June 30, 2026, when compared to the six months ended June 30, 2025, primarily by CE and HE. The net cash provided by investing activities was principally used to repay the Company's total debt, as further discussed below, as well as to fund net cash used by operating activities, such as the repurchase of receivables under the AR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Net cash (used) provided by financing activities</w:t>
      </w:r>
      <w:r>
        <w:rPr>
          <w:color w:val="000000"/>
        </w:rPr>
        <w:t xml:space="preserve"> — </w:t>
      </w:r>
      <w:r>
        <w:rPr>
          <w:rFonts w:ascii="Times New Roman;serif" w:hAnsi="Times New Roman;serif"/>
          <w:b w:val="false"/>
          <w:color w:val="000000"/>
          <w:sz w:val="20"/>
        </w:rPr>
        <w:t>Net cash used during the six months ended June 30, 2026 was $1.2 billion, compared with net cash provided of $54.1 million in the six months ended June 30, 2025, which was primarily due to higher net repayments of the Company's total debt of $1.2 billion during the six months ended June 30, 2026, as well as an increase in employee tax payments for stock based compensation of $36.6 million during the six months ended June 30, 2026, as a significant portion of the increase was due to the Transactions. A payment for the settlement of certain stock appreciation rights of $16.5 million was also paid during the six months ended June 30, 2026, as a result of the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Sources and Uses of Cash</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cash provided by operations on an annual basis and borrowings under the Senior Secured Credit Facilities, augmented by cash proceeds from asset sales. The Company expects to continue to utilize the Revolving Credit Facility to meet future cash requirements for operations and growth initiatives. Refer to Note 10, Debt and Credit Agreements in Part I. Financial Statements for more information.</w:t>
      </w:r>
    </w:p>
    <w:p>
      <w:pPr>
        <w:pStyle w:val="TextBody"/>
        <w:bidi w:val="0"/>
        <w:spacing w:before="0" w:after="0"/>
        <w:jc w:val="left"/>
        <w:rPr/>
      </w:pPr>
      <w:r>
        <w:rPr/>
      </w:r>
    </w:p>
    <w:p>
      <w:pPr>
        <w:pStyle w:val="TextBody"/>
        <w:bidi w:val="0"/>
        <w:spacing w:before="0" w:after="0"/>
        <w:jc w:val="left"/>
        <w:rPr/>
      </w:pPr>
      <w:r>
        <w:rPr/>
      </w:r>
    </w:p>
    <w:tbl>
      <w:tblPr>
        <w:tblW w:w="7695" w:type="dxa"/>
        <w:jc w:val="center"/>
        <w:tblInd w:w="0" w:type="dxa"/>
        <w:tblLayout w:type="fixed"/>
        <w:tblCellMar>
          <w:top w:w="28" w:type="dxa"/>
          <w:left w:w="28" w:type="dxa"/>
          <w:bottom w:w="28" w:type="dxa"/>
          <w:right w:w="28" w:type="dxa"/>
        </w:tblCellMar>
      </w:tblPr>
      <w:tblGrid>
        <w:gridCol w:w="1749"/>
        <w:gridCol w:w="1538"/>
        <w:gridCol w:w="1543"/>
        <w:gridCol w:w="109"/>
        <w:gridCol w:w="109"/>
        <w:gridCol w:w="109"/>
        <w:gridCol w:w="211"/>
        <w:gridCol w:w="631"/>
        <w:gridCol w:w="109"/>
        <w:gridCol w:w="109"/>
        <w:gridCol w:w="109"/>
        <w:gridCol w:w="109"/>
        <w:gridCol w:w="235"/>
        <w:gridCol w:w="854"/>
        <w:gridCol w:w="171"/>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Summary of Senior Secured Credit Facilities and Notes:</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tbl>
      <w:tblPr>
        <w:tblW w:w="8798" w:type="dxa"/>
        <w:jc w:val="center"/>
        <w:tblInd w:w="0" w:type="dxa"/>
        <w:tblLayout w:type="fixed"/>
        <w:tblCellMar>
          <w:top w:w="28" w:type="dxa"/>
          <w:left w:w="28" w:type="dxa"/>
          <w:bottom w:w="28" w:type="dxa"/>
          <w:right w:w="28" w:type="dxa"/>
        </w:tblCellMar>
      </w:tblPr>
      <w:tblGrid>
        <w:gridCol w:w="769"/>
        <w:gridCol w:w="677"/>
        <w:gridCol w:w="683"/>
        <w:gridCol w:w="109"/>
        <w:gridCol w:w="109"/>
        <w:gridCol w:w="109"/>
        <w:gridCol w:w="364"/>
        <w:gridCol w:w="364"/>
        <w:gridCol w:w="366"/>
        <w:gridCol w:w="109"/>
        <w:gridCol w:w="109"/>
        <w:gridCol w:w="109"/>
        <w:gridCol w:w="292"/>
        <w:gridCol w:w="562"/>
        <w:gridCol w:w="152"/>
        <w:gridCol w:w="109"/>
        <w:gridCol w:w="109"/>
        <w:gridCol w:w="109"/>
        <w:gridCol w:w="644"/>
        <w:gridCol w:w="1286"/>
        <w:gridCol w:w="335"/>
        <w:gridCol w:w="109"/>
        <w:gridCol w:w="109"/>
        <w:gridCol w:w="109"/>
        <w:gridCol w:w="211"/>
        <w:gridCol w:w="631"/>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Limit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Letters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w:t>
              <w:br/>
              <w:t>Credit</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144.3</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 Covenants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an amendment to the Credit Agreement to, among other things, modify certain levels of its total Net Debt to Consolidated Adjusted EBITDA ratio covenant and permit a distribution of the Company’s Clean Earth business, together with certain related transactions, including repayments of certain of the Company's existing indebtedness. As a result of this amendment and the distribution of Legacy Enviri's Clean Earth business, the total Net Debt to Consolidated Adjusted EBITDA ratio covenant was set to 3.00x for the quarter ended June 30, 2026 and for each quarter thereafter. The Company expects that it will maintain compliance with the amended covenants based on current forecasts.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terms of the February 2025 amendment to the Company's Senior Secured Credit Facilities, the Company's required Interest Coverage Ratio is set to a minimum of 2.50x for each quarter ended after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as calculated pursuant to the Credit Agreement, the Company was in compliance with these covenants, as the total net debt to Consolidated Adjusted EBITDA ratio was 1.94x, compared to the permitted maximum ratio of 3.00x, and total Interest Coverage Ratio was 4.60x, compared to the permitted minimum ratio of 2.50x. Based on balances and covenants in effect at June 30, 2026, the Company could increase net debt by $160.5 million and remain in compliance with these debt covenants. Alternatively, Consolidated Adjusted EBITDA could decrease by $53.5 million or interest expense could increase by $27.6 million and the Company would remain in compliance with these covenants at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believes it will continue to maintain compliance with these covenants based on its current outlook. However, the Company’s estimates of compliance with these covenants could change in the future with a deterioration in economic conditions including continued softness in certain markets, higher than forecasted interest rate increases, the timing of working capital, including the collection of receivables, an inability to successfully realize increased pricing and implement cost reduction initiatives that mitigate the impacts of inflation and other factors that may adversely impact its compliance with covenants.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AR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completion of the Transactions, the Company maintained a revolving trade receivables securitization facility to accelerate cash flows from trade accounts receivable, which was scheduled to mature in October 2027. Under the AR Facility, the Company and its designated subsidiaries continuously sold their trade receivables as they originated to the wholly-owned bankruptcy-remote SPE. The SPE transferred ownership and control of qualifying receivables to PNC up to a maximum purchase commitment of $160.0 million. On June 1, 2026, the AR Facility was terminated in connection with the Transactions and the Company repurchased the receivables from PNC.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received $10.0 million in proceeds from the AR Facility. No proceeds were received from the AR Facility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Management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cash management systems throughout the world that centralize cash in various bank accounts where it is economically justifiable and legally permissible to do so. These centralized cash balances are then redeployed to other operations to reduce short-term borrowings and to finance working capital needs or capital expenditures. Due to the transitory nature of cash balances, they are normally invested in bank deposits that can be withdrawn at will or in very liquid short-term bank time deposits and government obligations. The Company's policy is to use the largest banks in the various countries in which the Company operates. The Company monitors the creditworthiness of banks and, when appropriate, will adjust banking operations to reduce or eliminate exposure to less creditworthy banks.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Company's consolidated cash and cash equivalents included $108.9 million held by non-U.S. subsidiaries and approximately 4.3% of the Company's consolidated cash and cash equivalents had regulatory restrictions that would preclude the transfer of funds with and among subsidiaries. Non-U.S. subsidiaries also held $40.1 million of cash and cash equivalents in consolidated strategic ventures. The strategic venture agreements may require strategic venture partner approval to transfer funds with and among subsidiaries. While the Company's remaining non-U.S. cash and cash equivalents can be transferred with and among subsidiaries, the majority of these non-U.S. cash balances will be used to support the ongoing working capital needs and continued growth of the Company's non-U.S.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in connection with the Company's contracts with certain customers, the Company's contingent commercial commitments were updated, in which the terms of the updated agreement with the issuing bank required cash collateral totaling $20.7 million to be maintained until the contingent commercial commitments are released. During the six months ended June 30, 2026, $6.2 million of this cash collateral was released back to the Company. In addition, as a result of the Transactions, the Company was required to provide an additional $34.4 million of cash collateral to the issuing bank for the contingent commercial commitments during the six months ended June 30, 2026. These balances are classified as Restricted Cash on the Company's Condensed Consolidated Balance Sheets at June 30, 2026 and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Adopted and Recently Issued Accounting Standards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on recently adopted and recently issued accounting standards is included in Note 2, Recently Adopted and Recently Issued Accounting Standards, in Part I, 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u w:val="single"/>
        </w:rPr>
        <w:t>ITEM 3.</w:t>
      </w:r>
      <w:r>
        <w:rPr>
          <w:color w:val="000000"/>
        </w:rPr>
        <w:t xml:space="preserve">     </w:t>
      </w:r>
      <w:r>
        <w:rPr>
          <w:rFonts w:ascii="Times New Roman;serif" w:hAnsi="Times New Roman;serif"/>
          <w:b/>
          <w:color w:val="000000"/>
          <w:sz w:val="20"/>
          <w:u w:val="single"/>
        </w:rPr>
        <w:t>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risks have not changed significantly from those disclosed in the Company's Information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4.</w:t>
      </w:r>
      <w:r>
        <w:rPr>
          <w:color w:val="000000"/>
        </w:rPr>
        <w:t xml:space="preserve">        </w:t>
      </w:r>
      <w:r>
        <w:rPr>
          <w:rFonts w:ascii="Times New Roman;serif" w:hAnsi="Times New Roman;serif"/>
          <w:b/>
          <w:color w:val="000000"/>
          <w:sz w:val="20"/>
          <w:u w:val="single"/>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 evaluation was performed, under the supervision and with the participation of the Company’s management, including the Company's Chief Executive Officer and Chief Financial Officer, of the effectiveness of the design and operation of the Company’s disclosure controls and procedures pursuant to Rule 13a – 15 under the Securities and Exchange Act of 1934, as amended. Based upon that evaluation, such officers concluded that the Company's disclosure controls and procedures are effective to ensure that information required to be disclosed by the Company in the reports it files or submits under the Securities and Exchange Act of 1934, as amended (1) is recorded, processed, summarized, and reported within the time periods specified in the Securities and Exchange Commission's rules and forms and (2) is accumulated and communicated to the Company's management, including the Chief Executive Officer and Chief Financial Officer, as appropriate, to allow for timely decisions regarding required disclosure.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during the Company's most recent fiscal quarter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u w:val="single"/>
        </w:rPr>
        <w:t>PART II — 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u w:val="single"/>
        </w:rPr>
        <w:t>ITEM 1.</w:t>
      </w:r>
      <w:r>
        <w:rPr>
          <w:color w:val="000000"/>
        </w:rPr>
        <w:t xml:space="preserve">        </w:t>
      </w:r>
      <w:r>
        <w:rPr>
          <w:rFonts w:ascii="Times New Roman;serif" w:hAnsi="Times New Roman;serif"/>
          <w:b/>
          <w:color w:val="000000"/>
          <w:sz w:val="20"/>
          <w:u w:val="single"/>
        </w:rPr>
        <w:t>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Information on legal proceedings is included in Note 13, Commitments and Contingencies, in Part I, 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u w:val="single"/>
        </w:rPr>
        <w:t>ITEM 1A.</w:t>
      </w:r>
      <w:r>
        <w:rPr>
          <w:color w:val="000000"/>
        </w:rPr>
        <w:t xml:space="preserve">     </w:t>
      </w:r>
      <w:r>
        <w:rPr>
          <w:rFonts w:ascii="Times New Roman;serif" w:hAnsi="Times New Roman;serif"/>
          <w:b/>
          <w:color w:val="000000"/>
          <w:sz w:val="20"/>
          <w:u w:val="single"/>
        </w:rPr>
        <w:t>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risk factors as of June 30, 2026 have not changed materially from those described under the heading, "Risk Factors" in the Company's Information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u w:val="single"/>
        </w:rPr>
        <w:t>ITEM 2.</w:t>
      </w:r>
      <w:r>
        <w:rPr>
          <w:color w:val="000000"/>
        </w:rPr>
        <w:t xml:space="preserve">        </w:t>
      </w:r>
      <w:r>
        <w:rPr>
          <w:rFonts w:ascii="Times New Roman;serif" w:hAnsi="Times New Roman;serif"/>
          <w:b/>
          <w:color w:val="000000"/>
          <w:sz w:val="20"/>
          <w:u w:val="single"/>
        </w:rPr>
        <w:t>UNREGISTERED SALES OF EQUITY SECURITIES AND USE OF PROCEEDS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180" w:after="180"/>
        <w:jc w:val="left"/>
        <w:rPr/>
      </w:pPr>
      <w:r>
        <w:rPr>
          <w:rFonts w:ascii="Times New Roman;serif" w:hAnsi="Times New Roman;serif"/>
          <w:b/>
          <w:color w:val="000000"/>
          <w:sz w:val="20"/>
          <w:u w:val="single"/>
        </w:rPr>
        <w:t>ITEM 3.</w:t>
      </w:r>
      <w:r>
        <w:rPr>
          <w:color w:val="000000"/>
        </w:rPr>
        <w:t xml:space="preserve">        </w:t>
      </w:r>
      <w:r>
        <w:rPr>
          <w:rFonts w:ascii="Times New Roman;serif" w:hAnsi="Times New Roman;serif"/>
          <w:b/>
          <w:color w:val="000000"/>
          <w:sz w:val="20"/>
          <w:u w:val="single"/>
        </w:rPr>
        <w:t>DEFAULTS UPON SENIOR SECURITIES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u w:val="single"/>
        </w:rPr>
        <w:t>ITEM 4.</w:t>
      </w:r>
      <w:r>
        <w:rPr>
          <w:color w:val="000000"/>
        </w:rPr>
        <w:t xml:space="preserve">        </w:t>
      </w:r>
      <w:r>
        <w:rPr>
          <w:rFonts w:ascii="Times New Roman;serif" w:hAnsi="Times New Roman;serif"/>
          <w:b/>
          <w:color w:val="000000"/>
          <w:sz w:val="20"/>
          <w:u w:val="single"/>
        </w:rPr>
        <w:t>MINE SAFETY DISCLOSURES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u w:val="single"/>
        </w:rPr>
        <w:t>ITEM 5.</w:t>
      </w:r>
      <w:r>
        <w:rPr>
          <w:color w:val="000000"/>
        </w:rPr>
        <w:t xml:space="preserve">        </w:t>
      </w:r>
      <w:r>
        <w:rPr>
          <w:rFonts w:ascii="Times New Roman;serif" w:hAnsi="Times New Roman;serif"/>
          <w:b/>
          <w:color w:val="000000"/>
          <w:sz w:val="20"/>
          <w:u w:val="single"/>
        </w:rPr>
        <w:t>OTHER INFORMATION</w:t>
      </w: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no director or officer (as defined in Rule 16a-1(f) under the Exchange Act) of the Company adopted, modified or terminated a Rule 10b5-1 trading arrangement or non-Rule 10b5-1 trading arrangement for the purchase or sale of securities of the Company, within the meaning of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u w:val="single"/>
        </w:rPr>
        <w:t>ITEM 6.</w:t>
      </w:r>
      <w:r>
        <w:rPr>
          <w:color w:val="000000"/>
        </w:rPr>
        <w:t xml:space="preserve">        </w:t>
      </w:r>
      <w:r>
        <w:rPr>
          <w:rFonts w:ascii="Times New Roman;serif" w:hAnsi="Times New Roman;serif"/>
          <w:b/>
          <w:color w:val="000000"/>
          <w:sz w:val="20"/>
          <w:u w:val="single"/>
        </w:rPr>
        <w:t>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as part of this report or incorporated herein by reference: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59"/>
        <w:gridCol w:w="2594"/>
        <w:gridCol w:w="371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Transition Services Agreement, dated as of June 1, 2026, between CLEH, Inc. and Enviri II Corporation</w:t>
              </w:r>
            </w:hyperlink>
            <w:hyperlink r:id="rId4">
              <w:r>
                <w:rPr>
                  <w:rStyle w:val="InternetLink"/>
                  <w:rFonts w:ascii="Times New Roman;serif" w:hAnsi="Times New Roman;serif"/>
                  <w:b w:val="false"/>
                  <w:color w:val="000080"/>
                  <w:sz w:val="20"/>
                  <w:u w:val="single"/>
                </w:rPr>
                <w:t>(incorporated by reference to Exhibit 10.1 to Enviri’s Current Report on Form 8-K filed on June 1, 2026, SEC</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File Number 001-43207).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2amendmentno1toth.htm">
              <w:r>
                <w:rPr>
                  <w:rStyle w:val="InternetLink"/>
                  <w:rFonts w:ascii="Times New Roman;serif" w:hAnsi="Times New Roman;serif"/>
                  <w:b w:val="false"/>
                  <w:color w:val="000080"/>
                  <w:sz w:val="20"/>
                  <w:u w:val="single"/>
                </w:rPr>
                <w:t>Amendment No. 1 to the Transition Services Agreement, dated as of July 10, 2026, between CLEH, Inc. and</w:t>
              </w:r>
            </w:hyperlink>
            <w:hyperlink w:anchor="exhibit102amendmentno1toth.htm">
              <w:r>
                <w:rPr>
                  <w:rStyle w:val="InternetLink"/>
                  <w:rFonts w:ascii="Times New Roman;serif" w:hAnsi="Times New Roman;serif"/>
                  <w:b w:val="false"/>
                  <w:color w:val="000080"/>
                  <w:sz w:val="20"/>
                  <w:u w:val="single"/>
                </w:rPr>
                <w:t xml:space="preserve"> </w:t>
              </w:r>
            </w:hyperlink>
            <w:hyperlink w:anchor="exhibit102amendmentno1toth.htm">
              <w:r>
                <w:rPr>
                  <w:rStyle w:val="InternetLink"/>
                  <w:rFonts w:ascii="Times New Roman;serif" w:hAnsi="Times New Roman;serif"/>
                  <w:b w:val="false"/>
                  <w:color w:val="000080"/>
                  <w:sz w:val="20"/>
                  <w:u w:val="single"/>
                </w:rPr>
                <w:t>Enviri Corporation.*‡</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Joinder Agreement, dated as of June 1, 2026, between Enviri II Corporation and Bank of America, N.A., as administrative agent and collateral agent (incorporated by reference to Exhibit 10.2 to Enviri’s Current Report on Form 8-K filed on June 1, 2026, SEC File Number 001-43207</w:t>
              </w:r>
            </w:hyperlink>
            <w:r>
              <w:rPr>
                <w:rFonts w:ascii="Times New Roman;serif" w:hAnsi="Times New Roman;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Indemnification Agreement (incorporated by reference to Exhibit 10.3 to Enviri’s Current Report on Form 8-K filed on June 1, 2026, SEC File Number 001-43207).†</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2026 Omnibus Incentive Plan (incorporated by reference to Exhibit 10.1 to Enviri’s Registration Statement on Form S-8 filed on June 2, 2026, SEC File Number 333-296406).†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6-amendmentno1to2.htm">
              <w:r>
                <w:rPr>
                  <w:rStyle w:val="InternetLink"/>
                  <w:rFonts w:ascii="Times New Roman;serif" w:hAnsi="Times New Roman;serif"/>
                  <w:b w:val="false"/>
                  <w:color w:val="0000FF"/>
                  <w:sz w:val="20"/>
                  <w:u w:val="single"/>
                </w:rPr>
                <w:t>Amendment No. 1 to 2026 Omnibus Incentive Plan.*†</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7formofrsuawardag.htm">
              <w:r>
                <w:rPr>
                  <w:rStyle w:val="InternetLink"/>
                  <w:rFonts w:ascii="Times New Roman;serif" w:hAnsi="Times New Roman;serif"/>
                  <w:b w:val="false"/>
                  <w:color w:val="0000FF"/>
                  <w:sz w:val="20"/>
                  <w:u w:val="single"/>
                </w:rPr>
                <w:t>Form of RSU Award Agreement (for awards granted to employees on or after June 15,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8formofrsuawardag.htm">
              <w:r>
                <w:rPr>
                  <w:rStyle w:val="InternetLink"/>
                  <w:rFonts w:ascii="Times New Roman;serif" w:hAnsi="Times New Roman;serif"/>
                  <w:b w:val="false"/>
                  <w:color w:val="0000FF"/>
                  <w:sz w:val="20"/>
                  <w:u w:val="single"/>
                </w:rPr>
                <w:t>Form of RSU Award Agreement (for awards granted to Peter F. Minan on or after June 15,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9formofpsuawardag.htm">
              <w:r>
                <w:rPr>
                  <w:rStyle w:val="InternetLink"/>
                  <w:rFonts w:ascii="Times New Roman;serif" w:hAnsi="Times New Roman;serif"/>
                  <w:b w:val="false"/>
                  <w:color w:val="0000FF"/>
                  <w:sz w:val="20"/>
                  <w:u w:val="single"/>
                </w:rPr>
                <w:t>Form of PSU Award Agreement (for awards granted on or after June 15,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0formofrsuawarda.htm">
              <w:r>
                <w:rPr>
                  <w:rStyle w:val="InternetLink"/>
                  <w:rFonts w:ascii="Times New Roman;serif" w:hAnsi="Times New Roman;serif"/>
                  <w:b w:val="false"/>
                  <w:color w:val="0000FF"/>
                  <w:sz w:val="20"/>
                  <w:u w:val="single"/>
                </w:rPr>
                <w:t>Form of RSU Award Agreement (for awards granted to non-employee directors on or after June 15,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1formofdsuawarda.htm">
              <w:r>
                <w:rPr>
                  <w:rStyle w:val="InternetLink"/>
                  <w:rFonts w:ascii="Times New Roman;serif" w:hAnsi="Times New Roman;serif"/>
                  <w:b w:val="false"/>
                  <w:color w:val="0000FF"/>
                  <w:sz w:val="20"/>
                  <w:u w:val="single"/>
                </w:rPr>
                <w:t>Form of DSU Award Agreement (for cash compensation deferred by non-employee directors on or after June 15,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2formofdsuawarda.htm">
              <w:r>
                <w:rPr>
                  <w:rStyle w:val="InternetLink"/>
                  <w:rFonts w:ascii="Times New Roman;serif" w:hAnsi="Times New Roman;serif"/>
                  <w:b w:val="false"/>
                  <w:color w:val="0000FF"/>
                  <w:sz w:val="20"/>
                  <w:u w:val="single"/>
                </w:rPr>
                <w:t>Form of DSU Award Agreement (for equity compensation deferred by non-employee directors on or after June 15,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3offerlettertoru.htm">
              <w:r>
                <w:rPr>
                  <w:rStyle w:val="InternetLink"/>
                  <w:rFonts w:ascii="Times New Roman;serif" w:hAnsi="Times New Roman;serif"/>
                  <w:b w:val="false"/>
                  <w:color w:val="0000FF"/>
                  <w:sz w:val="20"/>
                  <w:u w:val="single"/>
                </w:rPr>
                <w:t>Offer Letter to Russell C. Hochman, dated as of June 1,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4offerlettertope.htm">
              <w:r>
                <w:rPr>
                  <w:rStyle w:val="InternetLink"/>
                  <w:rFonts w:ascii="Times New Roman;serif" w:hAnsi="Times New Roman;serif"/>
                  <w:b w:val="false"/>
                  <w:color w:val="0000FF"/>
                  <w:sz w:val="20"/>
                  <w:u w:val="single"/>
                </w:rPr>
                <w:t>Offer Letter to Peter F. Minan, dated as of May 7,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2026q210xqnvris.htm">
              <w:r>
                <w:rPr>
                  <w:rStyle w:val="InternetLink"/>
                  <w:rFonts w:ascii="Times New Roman;serif" w:hAnsi="Times New Roman;serif"/>
                  <w:b w:val="false"/>
                  <w:color w:val="0000FF"/>
                  <w:sz w:val="20"/>
                  <w:u w:val="single"/>
                </w:rPr>
                <w:t>Certification Pursuant to Rule 13a-14(a) or 15d-14(a), as Adopted Pursuant to Section 302 of the Sarbanes-Oxley Act of 2002 (Chairman, President and Chief Executive Officer).</w:t>
              </w:r>
            </w:hyperlink>
            <w:r>
              <w:rPr>
                <w:rFonts w:ascii="Times New Roman;serif" w:hAnsi="Times New Roman;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2026q210xqnvris.htm">
              <w:r>
                <w:rPr>
                  <w:rStyle w:val="InternetLink"/>
                  <w:rFonts w:ascii="Times New Roman;serif" w:hAnsi="Times New Roman;serif"/>
                  <w:b w:val="false"/>
                  <w:color w:val="0000FF"/>
                  <w:sz w:val="20"/>
                  <w:u w:val="single"/>
                </w:rPr>
                <w:t>Certification Pursuant to Rule 13a-14(a) or 15d-14(a), as Adopted Pursuant to Section 302 of the Sarbanes-Oxley Act of 2002 (Chief Financial Officer).</w:t>
              </w:r>
            </w:hyperlink>
            <w:r>
              <w:rPr>
                <w:rFonts w:ascii="Times New Roman;serif" w:hAnsi="Times New Roman;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026q210xqsectio.htm">
              <w:r>
                <w:rPr>
                  <w:rStyle w:val="InternetLink"/>
                  <w:rFonts w:ascii="Times New Roman;serif" w:hAnsi="Times New Roman;serif"/>
                  <w:b w:val="false"/>
                  <w:color w:val="0000FF"/>
                  <w:sz w:val="20"/>
                  <w:u w:val="single"/>
                </w:rPr>
                <w:t>Certifications Pursuant to 18 U.S.C. Section 1350, as Adopted Pursuant to Section 906 of the Sarbanes-Oxley Act of 2002 (Chairman, President and Chief Executive Officer and Chief Financial Officer).</w:t>
              </w:r>
            </w:hyperlink>
            <w:r>
              <w:rPr>
                <w:rFonts w:ascii="Times New Roman;serif" w:hAnsi="Times New Roman;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Indicates a management contract or compensatory plan or arrangement</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Schedules and similar attachments have been omitted pursuant to Item 601(b)(2) of Regulation S-K. The Company itself will furnish copies of any such schedules and attachments to the SEC upon request.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pPr>
      <w:r>
        <w:rPr>
          <w:rFonts w:ascii="Times New Roman;serif" w:hAnsi="Times New Roman;serif"/>
          <w:b w:val="false"/>
          <w:color w:val="000000"/>
          <w:sz w:val="20"/>
        </w:rPr>
        <w:t>** Furnished herewith</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ad4d023afac40299f000dda51dfd2b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320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ENVIRI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bl>
    <w:tbl>
      <w:tblPr>
        <w:tblW w:w="7542" w:type="dxa"/>
        <w:jc w:val="left"/>
        <w:tblInd w:w="0" w:type="dxa"/>
        <w:tblLayout w:type="fixed"/>
        <w:tblCellMar>
          <w:top w:w="28" w:type="dxa"/>
          <w:left w:w="28" w:type="dxa"/>
          <w:bottom w:w="28" w:type="dxa"/>
          <w:right w:w="28" w:type="dxa"/>
        </w:tblCellMar>
      </w:tblPr>
      <w:tblGrid>
        <w:gridCol w:w="228"/>
        <w:gridCol w:w="201"/>
        <w:gridCol w:w="202"/>
        <w:gridCol w:w="484"/>
        <w:gridCol w:w="484"/>
        <w:gridCol w:w="486"/>
        <w:gridCol w:w="109"/>
        <w:gridCol w:w="109"/>
        <w:gridCol w:w="109"/>
        <w:gridCol w:w="1502"/>
        <w:gridCol w:w="1502"/>
        <w:gridCol w:w="2126"/>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F. MINAN</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Peter F. Minan</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SAMUEL C. FENICE</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Samuel C. Fenice</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Corporate Controller</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AMENDMENT NO. 1 TO TRANSITION SERVICES AGREEMENT</w:t>
      </w:r>
      <w:r>
        <w:rPr>
          <w:color w:val="000000"/>
        </w:rPr>
        <w:t xml:space="preserve"> </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AMENDMENT NO. 1 TO TRANSITION SERVICES AGREEMENT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dated as of July 10, 2026 (the “</w:t>
      </w:r>
      <w:r>
        <w:rPr>
          <w:rFonts w:ascii="Times New Roman;serif" w:hAnsi="Times New Roman;serif"/>
          <w:b/>
          <w:color w:val="000000"/>
          <w:sz w:val="24"/>
        </w:rPr>
        <w:t>Amendment Date</w:t>
      </w:r>
      <w:r>
        <w:rPr>
          <w:color w:val="000000"/>
        </w:rPr>
        <w:t>”</w:t>
      </w:r>
      <w:r>
        <w:rPr>
          <w:rFonts w:ascii="Times New Roman;serif" w:hAnsi="Times New Roman;serif"/>
          <w:b w:val="false"/>
          <w:color w:val="000000"/>
          <w:sz w:val="24"/>
        </w:rPr>
        <w:t>), is between CLEH, Inc., a Delaware corporation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Enviri Corporation (f/k/a Enviri II Corporation), a Delaware corporation (“</w:t>
      </w:r>
      <w:r>
        <w:rPr>
          <w:rFonts w:ascii="Times New Roman;serif" w:hAnsi="Times New Roman;serif"/>
          <w:b/>
          <w:color w:val="000000"/>
          <w:sz w:val="24"/>
        </w:rPr>
        <w:t>Provider</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Enviri Corporation, Company, Enviri LLC, Veolia Environnement S.A.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Liberty Merger Sub Inc.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entered into that certain Agreement and Plan of Merger, dated as of November 20, 2025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pursuant to which Merger Sub was merged with and into Company, with Company continuing as the surviving corporation and wholly owned Subsidiary of Buyer;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pursuant to the Merger Agreement, Company and Provider entered into that certain Transition Services Agreement, dated as of June 1, 2026 (the “</w:t>
      </w:r>
      <w:r>
        <w:rPr>
          <w:rFonts w:ascii="Times New Roman;serif" w:hAnsi="Times New Roman;serif"/>
          <w:b/>
          <w:color w:val="000000"/>
          <w:sz w:val="24"/>
        </w:rPr>
        <w:t>Transition Services Agreement</w:t>
      </w:r>
      <w:r>
        <w:rPr>
          <w:color w:val="000000"/>
        </w:rPr>
        <w:t>”</w:t>
      </w:r>
      <w:r>
        <w:rPr>
          <w:rFonts w:ascii="Times New Roman;serif" w:hAnsi="Times New Roman;serif"/>
          <w:b w:val="false"/>
          <w:color w:val="000000"/>
          <w:sz w:val="24"/>
        </w:rPr>
        <w: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Company has requested that Provider provide additional services under the Transition Services Agreement, and Provider has agreed to provide those new services, subject to the terms of this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covenants and agreements contained herein, Company and Provider hereby agree to amend the Transition Services Agreement as follows:</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Capitalized terms used in this Amendment that are not otherwise defined herein have their respective meanings set forth in the Transition Services Agreement. All references to the Transition Services Agreement or sections therein shall mean the Transition Services Agreement as amended by this Amendment.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Amendments to the Transition Services Agreement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2.1    Each of Service Item #1.4, #1.11, #3.1(A), #3.1(B), and #4.4, is hereby amended, deleted, and/or added (as applicable) as set forth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2.2    With respect to Services 3.7 and 3.8, Company acknowledges, on behalf of itself and its Affiliates (including Buyer), that (a) such Services are not subject to the Services Standard; (b) Provider is only providing processing services, which are being provided entirely at the direction of Company, without any independent investigation or verification by Provider or its Affiliates, and Provider is entitled to rely upon the accuracy and completeness of those directions and any information provided in connection therewith; (c) Provider is not assuming any responsibility for analysis or decision-making with respect to Company’s positions taken on data supplied related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earnings and deductions or any other components of the Share Offering; and (d) Provider has no responsibility to ensure that computations or deductions comply with Law. Despite anything to the contrary in Sections 6.1 and 6.2 of the Transition Services Agreement, (i) Company shall indemnify, defend and hold harmless the Provider Parties against any and all Losses incurred by any of them relating to Services 3.7 and 3.8, whether arising in contract, statute, tort (including, without limitation, negligence) or otherwise that are brought by any Person, except to have resulted from Provider’s fraud or intentional misconduct (it being agreed that providing such Services as contemplated herein or as otherwise directed by Company or its Affiliates is not fraud or intentional misconduct, even if determined to be as such by a Governmental Authority (the “</w:t>
      </w:r>
      <w:r>
        <w:rPr>
          <w:rFonts w:ascii="Times New Roman;serif" w:hAnsi="Times New Roman;serif"/>
          <w:b/>
          <w:color w:val="000000"/>
          <w:sz w:val="24"/>
        </w:rPr>
        <w:t>Fraud Exception</w:t>
      </w:r>
      <w:r>
        <w:rPr>
          <w:color w:val="000000"/>
        </w:rPr>
        <w:t>”</w:t>
      </w:r>
      <w:r>
        <w:rPr>
          <w:rFonts w:ascii="Times New Roman;serif" w:hAnsi="Times New Roman;serif"/>
          <w:b w:val="false"/>
          <w:color w:val="000000"/>
          <w:sz w:val="24"/>
        </w:rPr>
        <w:t>)), and (ii) except to have resulted from Provider’s fraud or intentional misconduct (subject to the Fraud Exception), (A) Provider’s sole liability with respect to any failure to perform or nonconformance of such Services will be to correct such non-conformance or reperform such Service at no additional cost to Company, and (B) Company hereby releases Provider and its Affiliates from any claims concerning such Services, including any claims for indemnification under Section 6.1(a).</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Expenses</w:t>
      </w:r>
      <w:r>
        <w:rPr>
          <w:rFonts w:ascii="Times New Roman;serif" w:hAnsi="Times New Roman;serif"/>
          <w:b w:val="false"/>
          <w:color w:val="000000"/>
          <w:sz w:val="24"/>
        </w:rPr>
        <w:t>. Company shall reimburse Provider for all third-party costs and expenses incurred by Provider and its Affiliates in connection with negotiating and entering into this Amendment, including all legal fees. Company shall pay all such amounts within ten days following receipt of an invoice therefor, without any setoff, deduction or counterclaim. Any amounts not paid when due will be subject to a late charge as set forth in Section 4.2 of the Transition Services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The provisions of Article 7 of the Transition Services Agreement are incorporated by reference into this Amendment </w:t>
      </w:r>
      <w:r>
        <w:rPr>
          <w:rFonts w:ascii="Times New Roman;serif" w:hAnsi="Times New Roman;serif"/>
          <w:b w:val="false"/>
          <w:i/>
          <w:color w:val="000000"/>
          <w:sz w:val="24"/>
        </w:rPr>
        <w:t>mutatis mutandis</w:t>
      </w:r>
      <w:r>
        <w:rPr>
          <w:rFonts w:ascii="Times New Roman;serif" w:hAnsi="Times New Roman;serif"/>
          <w:b w:val="false"/>
          <w:color w:val="000000"/>
          <w:sz w:val="24"/>
        </w:rPr>
        <w:t>. Except as provided in this Amendment, all other terms and conditions of the Transition Services Agreement remain in full force and effect. To the extent of any conflict between the terms of this Amendment and those of the Transition Services Agreement as in effect immediately prior to the Amendment Date, the terms of this Amendment control.</w:t>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respective authorized officers as of the date first written above.</w:t>
      </w:r>
    </w:p>
    <w:tbl>
      <w:tblPr>
        <w:tblW w:w="1701" w:type="dxa"/>
        <w:jc w:val="left"/>
        <w:tblInd w:w="0" w:type="dxa"/>
        <w:tblLayout w:type="fixed"/>
        <w:tblCellMar>
          <w:top w:w="28" w:type="dxa"/>
          <w:left w:w="28" w:type="dxa"/>
          <w:bottom w:w="28" w:type="dxa"/>
          <w:right w:w="28" w:type="dxa"/>
        </w:tblCellMar>
      </w:tblPr>
      <w:tblGrid>
        <w:gridCol w:w="169"/>
        <w:gridCol w:w="148"/>
        <w:gridCol w:w="148"/>
        <w:gridCol w:w="244"/>
        <w:gridCol w:w="244"/>
        <w:gridCol w:w="246"/>
        <w:gridCol w:w="147"/>
        <w:gridCol w:w="147"/>
        <w:gridCol w:w="208"/>
      </w:tblGrid>
      <w:tr>
        <w:trPr/>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CLEH, INC.</w:t>
            </w:r>
          </w:p>
        </w:tc>
      </w:tr>
      <w:tr>
        <w:trPr/>
        <w:tc>
          <w:tcPr>
            <w:tcW w:w="17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tbl>
      <w:tblPr>
        <w:tblW w:w="2801" w:type="dxa"/>
        <w:jc w:val="left"/>
        <w:tblInd w:w="0" w:type="dxa"/>
        <w:tblLayout w:type="fixed"/>
        <w:tblCellMar>
          <w:top w:w="28" w:type="dxa"/>
          <w:left w:w="28" w:type="dxa"/>
          <w:bottom w:w="28" w:type="dxa"/>
          <w:right w:w="28" w:type="dxa"/>
        </w:tblCellMar>
      </w:tblPr>
      <w:tblGrid>
        <w:gridCol w:w="333"/>
        <w:gridCol w:w="293"/>
        <w:gridCol w:w="293"/>
        <w:gridCol w:w="293"/>
        <w:gridCol w:w="293"/>
        <w:gridCol w:w="293"/>
        <w:gridCol w:w="293"/>
        <w:gridCol w:w="293"/>
        <w:gridCol w:w="417"/>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80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ENVIRI CORPORATION</w:t>
            </w:r>
          </w:p>
        </w:tc>
      </w:tr>
      <w:tr>
        <w:trPr/>
        <w:tc>
          <w:tcPr>
            <w:tcW w:w="91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0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 TRANSITION SERVICES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 TRANSITION SERVICES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SERVICES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ENVIRI CORPORATION</w:t>
        <w:br/>
        <w:t>2026 Omnibus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First Amendment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Pursuant to Section 16.1 of the 2026 Omnibus Incentive Plan (the “Plan”), the Board of Directors (the “Board”) of Enviri Corporation, a Delaware Corporation (the “Company”), hereby amends the Plan, effective as of July 27, 2026, as follows: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title of the Plan shall be, and hereby is, amended to change the name of the Plan from “Enviri II Corporation 2026 Omnibus Incentive Plan” to the “Enviri Corporation 2026 Omnibus Incentive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Section 1.1 of the Plan shall be, and hereby is, amended to change (a) the name of the Plan from “Enviri II Corporation 2026 Omnibus Incentive Plan” to the “Enviri Corporation 2026 Omnibus Incentive Plan” and (b) to change all references of “Enviri II Corporation” to “Enviri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Section 2 of the Plan shall be, and hereby is, amended to change (a) the definition of “Company” from “Enviri II Corporation, a Delaware corporation, and any successor thereto” to “Enviri Corporation, a Delaware corporation, and any successor thereto” and (b) the definition of “Plan” from “Enviri II Corporation 2026 Omnibus Incentive Plan, as amended or amended and restated from time to time” to “Enviri Corporation 2026 Omnibus Incentive Plan, as amended or amended and restated from time to time”.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4.    In all other respects, the Plan, as amended, is hereby ratified and confirmed and shall remain in full force and effect.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executed this Amendment No. 1 to the 2026 Omnibus Incentive Plan.</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ENVIRI CORPORATION</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Joshua R. Zalasky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Joshua R. Zalasky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Corporate Secretary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Exhibit 10.7</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UNITS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 TIME-BASED VESTING)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RESTRICTED STOCK UNITS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as of [●] (the “</w:t>
      </w:r>
      <w:r>
        <w:rPr>
          <w:rFonts w:ascii="Times New Roman;serif" w:hAnsi="Times New Roman;serif"/>
          <w:b/>
          <w:color w:val="000000"/>
          <w:sz w:val="22"/>
        </w:rPr>
        <w:t>Date of Grant</w:t>
      </w:r>
      <w:r>
        <w:rPr>
          <w:color w:val="000000"/>
        </w:rPr>
        <w:t>”</w:t>
      </w:r>
      <w:r>
        <w:rPr>
          <w:rFonts w:ascii="Times New Roman;serif" w:hAnsi="Times New Roman;serif"/>
          <w:b w:val="false"/>
          <w:color w:val="000000"/>
          <w:sz w:val="22"/>
        </w:rPr>
        <w:t>), by and between Enviri Corporation, a Delaware corporation, and [PARTICIPANT NAME]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Capitalized terms used, but not otherwise defined, in this Agreement will have the meanings given to such terms in the Company’s 2026 Omnibus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Grant of RSUs</w:t>
      </w:r>
      <w:r>
        <w:rPr>
          <w:rFonts w:ascii="Times New Roman;serif" w:hAnsi="Times New Roman;serif"/>
          <w:b w:val="false"/>
          <w:color w:val="000000"/>
          <w:sz w:val="22"/>
        </w:rPr>
        <w:t xml:space="preserve">. Subject to and upon the terms, conditions and restrictions set forth in this Agreement, including, without limitation,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and subject to any state-specific modifications set forth on </w:t>
      </w:r>
      <w:r>
        <w:rPr>
          <w:rFonts w:ascii="Times New Roman;serif" w:hAnsi="Times New Roman;serif"/>
          <w:b w:val="false"/>
          <w:color w:val="000000"/>
          <w:sz w:val="22"/>
          <w:u w:val="single"/>
        </w:rPr>
        <w:t>Exhibit A-1</w:t>
      </w:r>
      <w:r>
        <w:rPr>
          <w:color w:val="000000"/>
        </w:rPr>
        <w:t xml:space="preserve"> </w:t>
      </w:r>
      <w:r>
        <w:rPr>
          <w:rFonts w:ascii="Times New Roman;serif" w:hAnsi="Times New Roman;serif"/>
          <w:b w:val="false"/>
          <w:color w:val="000000"/>
          <w:sz w:val="22"/>
        </w:rPr>
        <w:t>attached hereto (the “</w:t>
      </w:r>
      <w:r>
        <w:rPr>
          <w:rFonts w:ascii="Times New Roman;serif" w:hAnsi="Times New Roman;serif"/>
          <w:b/>
          <w:color w:val="000000"/>
          <w:sz w:val="22"/>
        </w:rPr>
        <w:t>Restrictive Covenants Agreement</w:t>
      </w:r>
      <w:r>
        <w:rPr>
          <w:color w:val="000000"/>
        </w:rPr>
        <w:t>”</w:t>
      </w:r>
      <w:r>
        <w:rPr>
          <w:rFonts w:ascii="Times New Roman;serif" w:hAnsi="Times New Roman;serif"/>
          <w:b w:val="false"/>
          <w:color w:val="000000"/>
          <w:sz w:val="22"/>
        </w:rPr>
        <w:t xml:space="preserve">), any additional terms and conditions for the Participant’s country (Participants outside the United States only) set forth in the attached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which forms part of this Agreement, and in the Plan, the Company grants to the Participant, as of the Date of Grant, [NUMBER] Restricted Stock Units (“</w:t>
      </w:r>
      <w:r>
        <w:rPr>
          <w:rFonts w:ascii="Times New Roman;serif" w:hAnsi="Times New Roman;serif"/>
          <w:b/>
          <w:color w:val="000000"/>
          <w:sz w:val="22"/>
        </w:rPr>
        <w:t>RSUs</w:t>
      </w:r>
      <w:r>
        <w:rPr>
          <w:color w:val="000000"/>
        </w:rPr>
        <w:t>”</w:t>
      </w:r>
      <w:r>
        <w:rPr>
          <w:rFonts w:ascii="Times New Roman;serif" w:hAnsi="Times New Roman;serif"/>
          <w:b w:val="false"/>
          <w:color w:val="000000"/>
          <w:sz w:val="22"/>
        </w:rPr>
        <w:t xml:space="preserve">). Each RSU shall represent the right of the Participant to receive one share of Common Stock subject to and upon the terms and conditions of this Agreement. Notwithstanding anything in this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or otherwise in this Agreement to the contrary, the Participant acknowledges and agrees to be bound by the restrictive covenant terms, conditions and provisions in the Restrictive Covenants Agreement as a “Participant” as referred to therein.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Restrictions on Transfer of RSUs</w:t>
      </w:r>
      <w:r>
        <w:rPr>
          <w:rFonts w:ascii="Times New Roman;serif" w:hAnsi="Times New Roman;serif"/>
          <w:b w:val="false"/>
          <w:color w:val="000000"/>
          <w:sz w:val="22"/>
        </w:rPr>
        <w:t xml:space="preserve">. Neither the RSUs granted hereby nor any interest therein or in the Common Stock related thereto shall be transferable prior to payment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other than by will or pursuant to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Vesting of RSUs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RSUs covered by this Agreement shall vest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if the Participant remains in Continuous Service through the applicable vesting date below (each, a “</w:t>
      </w:r>
      <w:r>
        <w:rPr>
          <w:rFonts w:ascii="Times New Roman;serif" w:hAnsi="Times New Roman;serif"/>
          <w:b/>
          <w:color w:val="000000"/>
          <w:sz w:val="22"/>
        </w:rPr>
        <w:t>Vesting Date</w:t>
      </w:r>
      <w:r>
        <w:rPr>
          <w:color w:val="000000"/>
        </w:rPr>
        <w:t>”</w:t>
      </w:r>
      <w:r>
        <w:rPr>
          <w:rFonts w:ascii="Times New Roman;serif" w:hAnsi="Times New Roman;serif"/>
          <w:b w:val="false"/>
          <w:color w:val="000000"/>
          <w:sz w:val="22"/>
        </w:rPr>
        <w:t>):</w:t>
      </w:r>
    </w:p>
    <w:p>
      <w:pPr>
        <w:pStyle w:val="TextBody"/>
        <w:bidi w:val="0"/>
        <w:spacing w:before="0" w:after="0"/>
        <w:jc w:val="both"/>
        <w:rPr/>
      </w:pPr>
      <w:r>
        <w:rPr/>
      </w:r>
    </w:p>
    <w:tbl>
      <w:tblPr>
        <w:tblW w:w="6000" w:type="dxa"/>
        <w:jc w:val="left"/>
        <w:tblInd w:w="0" w:type="dxa"/>
        <w:tblLayout w:type="fixed"/>
        <w:tblCellMar>
          <w:top w:w="28" w:type="dxa"/>
          <w:left w:w="28" w:type="dxa"/>
          <w:bottom w:w="28" w:type="dxa"/>
          <w:right w:w="28" w:type="dxa"/>
        </w:tblCellMar>
      </w:tblPr>
      <w:tblGrid>
        <w:gridCol w:w="1037"/>
        <w:gridCol w:w="912"/>
        <w:gridCol w:w="916"/>
        <w:gridCol w:w="916"/>
        <w:gridCol w:w="916"/>
        <w:gridCol w:w="1303"/>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Percentage of RSUs Vesting</w:t>
            </w:r>
          </w:p>
        </w:tc>
        <w:tc>
          <w:tcPr>
            <w:tcW w:w="313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Vesting Date</w:t>
            </w:r>
          </w:p>
        </w:tc>
      </w:tr>
      <w:tr>
        <w:trPr/>
        <w:tc>
          <w:tcPr>
            <w:tcW w:w="28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33.3%</w:t>
            </w:r>
          </w:p>
        </w:tc>
        <w:tc>
          <w:tcPr>
            <w:tcW w:w="313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One Year from Date of Grant</w:t>
            </w:r>
          </w:p>
        </w:tc>
      </w:tr>
      <w:tr>
        <w:trPr/>
        <w:tc>
          <w:tcPr>
            <w:tcW w:w="28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33.3%</w:t>
            </w:r>
          </w:p>
        </w:tc>
        <w:tc>
          <w:tcPr>
            <w:tcW w:w="313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Two Years from Date of Grant</w:t>
            </w:r>
          </w:p>
        </w:tc>
      </w:tr>
      <w:tr>
        <w:trPr/>
        <w:tc>
          <w:tcPr>
            <w:tcW w:w="28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33.3%</w:t>
            </w:r>
          </w:p>
        </w:tc>
        <w:tc>
          <w:tcPr>
            <w:tcW w:w="313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Three Years from Date of Grant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Any RSUs that do not so become nonforfeitable on a Vesting Date will be forfeited, including, except as provided in </w:t>
      </w:r>
      <w:r>
        <w:rPr>
          <w:rFonts w:ascii="Times New Roman;serif" w:hAnsi="Times New Roman;serif"/>
          <w:b w:val="false"/>
          <w:color w:val="000000"/>
          <w:sz w:val="22"/>
          <w:u w:val="single"/>
        </w:rPr>
        <w:t>Section 4(b)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below, if the Participant’s Continuous Service ceases prior to a Vesting Date.</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(b)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above, all of the RSUs shall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upon the occurrence of any of the following events at a time when the RSUs have not been forfeited (to the extent the RSUs have not previously become nonforfeitable):</w:t>
      </w: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Participant’s death or Disability during the Participant’s Continuous Service; or</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    the Participant’s retirement (A) at age 62 or older plus 5 years of service during the Participant’s Continuous Service (including years of service with the Company’s predecessor) or (B) at or after such time as the Participant’s age (minimum of age 55), plus full years of the Participant’s Continuous Service (including years of service with the Company’s predecessor), equals 75;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retirement occurs no fewer than six (6) months after the Date of Grant.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above, </w:t>
      </w:r>
    </w:p>
    <w:p>
      <w:pPr>
        <w:pStyle w:val="TextBody"/>
        <w:bidi w:val="0"/>
        <w:spacing w:before="0" w:after="24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    if (A) this award is not continued, assumed, substituted, or replaced in accordance with Section 15.1 of the Plan or, (B) following the Change in Control, the Participant will not continue to hold, or otherwise receive, an award that relates to cash or publicly traded equity securities of the Company or its successor or an Affiliate (a “</w:t>
      </w:r>
      <w:r>
        <w:rPr>
          <w:rFonts w:ascii="Times New Roman;serif" w:hAnsi="Times New Roman;serif"/>
          <w:b/>
          <w:color w:val="000000"/>
          <w:sz w:val="22"/>
        </w:rPr>
        <w:t>Replacement Award</w:t>
      </w:r>
      <w:r>
        <w:rPr>
          <w:color w:val="000000"/>
        </w:rPr>
        <w:t>”</w:t>
      </w:r>
      <w:r>
        <w:rPr>
          <w:rFonts w:ascii="Times New Roman;serif" w:hAnsi="Times New Roman;serif"/>
          <w:b w:val="false"/>
          <w:color w:val="000000"/>
          <w:sz w:val="22"/>
        </w:rPr>
        <w:t xml:space="preserve">), the RSU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immediately prior to the consummation of the Change in Control contingent upon the Participant remaining in Continuous Service through the consummation of the Change in Control; and</w:t>
      </w:r>
    </w:p>
    <w:p>
      <w:pPr>
        <w:pStyle w:val="TextBody"/>
        <w:bidi w:val="0"/>
        <w:spacing w:before="0" w:after="240"/>
        <w:jc w:val="left"/>
        <w:rPr/>
      </w:pPr>
      <w:r>
        <w:rPr/>
      </w:r>
    </w:p>
    <w:p>
      <w:pPr>
        <w:pStyle w:val="TextBody"/>
        <w:bidi w:val="0"/>
        <w:spacing w:lineRule="auto" w:line="288"/>
        <w:ind w:left="0" w:right="0" w:firstLine="2160"/>
        <w:jc w:val="both"/>
        <w:rPr/>
      </w:pPr>
      <w:r>
        <w:rPr>
          <w:rFonts w:ascii="Times New Roman;serif" w:hAnsi="Times New Roman;serif"/>
          <w:b w:val="false"/>
          <w:color w:val="000000"/>
          <w:sz w:val="22"/>
        </w:rPr>
        <w:t xml:space="preserve">(ii)    if (A) this award is continued, assumed, substituted, or replaced in accordance with Section 15.1 of the Plan and, (B) following the Change in Control, the Participant will continue to hold or receive a Replacement Award, the Replacement Award will vest and become nonforfeitable in accordance with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payable to the Participant in accordance with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prior to the final Vesting Date, the Participant’s Continuous Service is terminated by the Company or its successor without Cause or by the Participant for Good Reason (as defined below), in either case, within the two-year period following the date of the Change in Control, the Replacement Award will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date of such termination. For purposes of this Agreement, “</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 xml:space="preserve">shall have the meaning set forth in the Company’s Executive Severance Plan (if the Participant is also a participant in the Company’s Executive Severance Plan) or otherwise means Participant’s termination of his or her Continuous Service as a result of the occurrence of any of the following: (I) a change in the Participant’s principal location of employment that is greater than 50 miles from such location as of the date of this Agreement without the Participant’s consent (provided, however, that the Participant hereby acknowledges that the Participant may be required to engage in travel in connection with the performance of the Participant’s duties and that such travel shall not constitute a change in the Participant’s principal location of employment for purposes hereof); (II) a material diminution in the Participant’s base compensation; (III) a change in the Participant’s position with the Company or its successor or applicable subsidiary thereof without the Participant’s consent such that there is a material diminution in the Participant’s authority, duties or responsibilities; or (IV) any other action or inaction that constitutes a material breach by the Company or its successor or the applicable subsidiary thereof of the agreement, if any, under which the Participant provides services to the Company or its successor or the applicable subsidiary thereof. Notwithstanding the foregoing, the Participant’s termination of Continuous Service as a result of the occurrence of any of the foregoing shall not constitute “Good Reason” unless (X) the Participant gives the Company or its successor written notice of such occurrence within 90 days of such occurrence and such occurrence is not cured by the Company or its successor within 30 days of the date on which such written notice is received by the Company or its successor and (Y) the Participant actually </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terminates his or her Continuous Service with the Company or its successor prior to the 365th day following such occurrence.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Form and Time of Payment of RSUs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Payment for the RSUs, after and to the extent they have become nonforfeitable, shall be made in the form of shares of Common Stock (or cash, in the case of a cash-settled Replacement Award). Except as provided in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5(c)</w:t>
      </w:r>
      <w:r>
        <w:rPr>
          <w:rFonts w:ascii="Times New Roman;serif" w:hAnsi="Times New Roman;serif"/>
          <w:b w:val="false"/>
          <w:color w:val="000000"/>
          <w:sz w:val="22"/>
        </w:rPr>
        <w:t xml:space="preserve">, payment shall be made within 10 days following the date that the RSUs become nonforfeitable pursuant to </w:t>
      </w:r>
      <w:r>
        <w:rPr>
          <w:rFonts w:ascii="Times New Roman;serif" w:hAnsi="Times New Roman;serif"/>
          <w:b w:val="false"/>
          <w:color w:val="000000"/>
          <w:sz w:val="22"/>
          <w:u w:val="single"/>
        </w:rPr>
        <w:t>Section 4</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If the Participant is deemed by the Company at the time of the Participant’s “separation from service” (as such term is defined in Treasury Regulations Section 1.409A-1(h) without regard to any alternative definition thereunder) with the Company to be a “specified employee” for purposes of Section 409A(a)(2)(B)(i) of the Code, and if any of the payments upon such separation from service set forth herein are deemed to be “deferred compensation” within the meaning of Section 409A of the Code, then to the extent delayed commencement of any portion of such payments is required to avoid a prohibited distribution under Section 409A(a)(2)(B)(i) of the Code and the related adverse taxation under Section 409A of the Code, such payments will not be provided to the Participant prior to the earliest of (i) the date that is six months and one day after the date of such separation from service, (ii) the date of the Participant’s death, or (iii) such earlier date as permitted under Section 409A of the Code without the</w:t>
      </w:r>
      <w:r>
        <w:rPr>
          <w:color w:val="000000"/>
        </w:rPr>
        <w:t xml:space="preserve"> </w:t>
      </w:r>
      <w:r>
        <w:rPr>
          <w:rFonts w:ascii="Times New Roman;serif" w:hAnsi="Times New Roman;serif"/>
          <w:b w:val="false"/>
          <w:color w:val="000000"/>
          <w:sz w:val="22"/>
        </w:rPr>
        <w:t xml:space="preserve">imposition of adverse taxation. Upon the first business day following the expiration of such period, all payments deferred pursuant to this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will be paid in a lump sum to the Participant, and any remaining payments due will be paid as otherwise provided herein.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Company’s obligations to the Participant with respect to the RSUs will be satisfied in full upon the issuance of Common Stock corresponding to such RSUs.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Voting and Other Rights; Dividend Equivalents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Participant shall have no rights of ownership in the Common Stock underlying the RSUs and no right to vote the Common Stock underlying the RSUs until the date on which the shares of Common Stock underlying the RSUs are issued or transferred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From and after the Date of Grant and until the earlier of (i) the time when the RSUs become nonforfeitable and are paid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or (ii) the time when the Participant’s right to receive Common Stock in payment of the RSUs is forfeited in accordance with </w:t>
      </w:r>
      <w:r>
        <w:rPr>
          <w:rFonts w:ascii="Times New Roman;serif" w:hAnsi="Times New Roman;serif"/>
          <w:b w:val="false"/>
          <w:color w:val="000000"/>
          <w:sz w:val="22"/>
          <w:u w:val="single"/>
        </w:rPr>
        <w:t>Section 4</w:t>
      </w:r>
      <w:r>
        <w:rPr>
          <w:rFonts w:ascii="Times New Roman;serif" w:hAnsi="Times New Roman;serif"/>
          <w:b w:val="false"/>
          <w:color w:val="000000"/>
          <w:sz w:val="22"/>
        </w:rPr>
        <w:t>, on the date that the Company pays a cash dividend (if any) to holders of Common Stock generally, the Participant shall become entitled to receive (subject to the following sentence) a number of additional whole RSUs determined by dividing (x) the product of (1) the dollar amount of the cash dividend paid per share of Common Stock on such date and (2) the total number of RSUs (including dividend equivalents) previously credited to the Participant as of such date, by (y) the Fair Market Value on such date. Such dividend equivalents (if any) shall be subject to the same terms and conditions and shall be paid or forfeited in the same manner and at the same time as the RSUs to which the dividend equivalents were credited.</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obligations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Adjustments</w:t>
      </w:r>
      <w:r>
        <w:rPr>
          <w:rFonts w:ascii="Times New Roman;serif" w:hAnsi="Times New Roman;serif"/>
          <w:b w:val="false"/>
          <w:color w:val="000000"/>
          <w:sz w:val="22"/>
        </w:rPr>
        <w:t>. The RSUs and their terms under this Agreement are subject to mandatory adjustment under the terms of Section 14 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Compliance With Applicable Laws</w:t>
      </w:r>
      <w:r>
        <w:rPr>
          <w:rFonts w:ascii="Times New Roman;serif" w:hAnsi="Times New Roman;serif"/>
          <w:b w:val="false"/>
          <w:color w:val="000000"/>
          <w:sz w:val="22"/>
        </w:rPr>
        <w:t>. The Company shall make reasonable efforts to comply with all Applicable Laws; provided, however, that notwithstanding any other provision of the Plan and this Agreement, the Company shall not be obligated to issue any Common Stock pursuant to this Agreement if the issuance thereof would result in a violation of any Applicable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Withholding Obligations</w:t>
      </w:r>
      <w:r>
        <w:rPr>
          <w:rFonts w:ascii="Times New Roman;serif" w:hAnsi="Times New Roman;serif"/>
          <w:b w:val="false"/>
          <w:color w:val="000000"/>
          <w:sz w:val="22"/>
        </w:rPr>
        <w:t>. The Company and its Affiliates may withhold from any payment of cash or distribution of shares of Common Stock or other property to the Participant under this Agreement an amount or number of shares sufficient to cover any required tax withholding with respect to such payment, including up to the maximum allowable withholding, or may take such other action as the Company deems necessary to satisfy any income or other tax withholding requirements arising as a result of the grant or settlement of the RSUs. The Company and its Affiliates may, as a condition to any payment pursuant to this Agreement, require the payment of any such taxes and require that the Participant furnish any information necessary to meet any applicable tax reporting obligation.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Any reference in this Agreement to Section 409A of the Code will also include any proposed, temporary or final regulations, or any other guidance, promulgated with respect to such Section by the U.S. Department of the Treasury or the Internal Revenue Service. Except as expressly provided in this Agreement, capitalized terms used herein will have the meaning ascribed to such terms in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No Employment Rights</w:t>
      </w:r>
      <w:r>
        <w:rPr>
          <w:rFonts w:ascii="Times New Roman;serif" w:hAnsi="Times New Roman;serif"/>
          <w:b w:val="false"/>
          <w:color w:val="000000"/>
          <w:sz w:val="22"/>
        </w:rPr>
        <w:t>. The grant of the RSUs under this Agreement to the Participant is a 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be employed or remain employed by the Company or any of its Subsidiaries, nor limit or affect in any manner the right of the Company or any of its Subsidiaries to terminate the employment or adjust the compensation of the Participant.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Relation to Other Benefits</w:t>
      </w:r>
      <w:r>
        <w:rPr>
          <w:rFonts w:ascii="Times New Roman;serif" w:hAnsi="Times New Roman;serif"/>
          <w:b w:val="false"/>
          <w:color w:val="000000"/>
          <w:sz w:val="22"/>
        </w:rPr>
        <w:t xml:space="preserve">. Any economic or other benefit to the Participant under this Agreement or the Plan shall not be taken into account in determining any benefits to which the Participant may be entitled under any profit-sharing, retirement or other benefit or compensation plan maintained by </w:t>
      </w: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Amendments</w:t>
      </w:r>
      <w:r>
        <w:rPr>
          <w:rFonts w:ascii="Times New Roman;serif" w:hAnsi="Times New Roman;serif"/>
          <w:b w:val="false"/>
          <w:color w:val="000000"/>
          <w:sz w:val="22"/>
        </w:rPr>
        <w:t>. Any amendment to the Plan shall be deemed to be an amendment to this Agreement to the extent that the amendment is applicable hereto; provided, however, that no amendment shall materially impair the rights of the Participant under this Agreement without the Participant’s written consent.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Relation to Plan</w:t>
      </w:r>
      <w:r>
        <w:rPr>
          <w:rFonts w:ascii="Times New Roman;serif" w:hAnsi="Times New Roman;serif"/>
          <w:b w:val="false"/>
          <w:color w:val="000000"/>
          <w:sz w:val="22"/>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In addition, the RSUs shall be subject to the terms and conditions of the Company’s Incentive Compensation Recoupment Policy in effect on the Date of Grant as if such RSUs were “Incentive-Based Compensation” (as such term is defined in such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rFonts w:ascii="Times New Roman;serif" w:hAnsi="Times New Roman;serif"/>
          <w:b w:val="false"/>
          <w:color w:val="000000"/>
          <w:sz w:val="22"/>
        </w:rPr>
        <w:t>, the provisions of this Agreement shall inure to the benefit of, and be binding upon, the successors, administrators, heirs, legal representatives and assigns of the Participant, and the successors and assigns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Except as provided in </w:t>
      </w:r>
      <w:r>
        <w:rPr>
          <w:rFonts w:ascii="Times New Roman;serif" w:hAnsi="Times New Roman;serif"/>
          <w:b w:val="false"/>
          <w:color w:val="000000"/>
          <w:sz w:val="22"/>
          <w:u w:val="single"/>
        </w:rPr>
        <w:t>Exhibits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B</w:t>
      </w:r>
      <w:r>
        <w:rPr>
          <w:rFonts w:ascii="Times New Roman;serif" w:hAnsi="Times New Roman;serif"/>
          <w:b w:val="false"/>
          <w:color w:val="000000"/>
          <w:sz w:val="22"/>
        </w:rPr>
        <w:t>, this Agreement will be construed under the laws of the State of Delaware, without regard to its conflict of law provisions, and the parties consent and agree that the federal and state courts located in the State of Delaware will have exclusive jurisdiction over any dispute relating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Acknowledgement</w:t>
      </w:r>
      <w:r>
        <w:rPr>
          <w:rFonts w:ascii="Times New Roman;serif" w:hAnsi="Times New Roman;serif"/>
          <w:b w:val="false"/>
          <w:color w:val="000000"/>
          <w:sz w:val="22"/>
        </w:rPr>
        <w:t>. The Participant acknowledges that the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will constitute one and the same agreement.</w:t>
      </w:r>
    </w:p>
    <w:p>
      <w:pPr>
        <w:pStyle w:val="TextBody"/>
        <w:bidi w:val="0"/>
        <w:spacing w:before="0" w:after="240"/>
        <w:jc w:val="left"/>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Agreement to be executed on its behalf by its duly authorized officer and the Participant has executed this Agreement, effective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undersigned hereby acknowledges receipt of an executed version of this Agreement and accepts the award of RSUs granted hereunder on the terms and conditions set forth herein and in the Plan (including the terms of the Restrictive Covenants Agreement, attached hereto as </w:t>
      </w:r>
      <w:r>
        <w:rPr>
          <w:rFonts w:ascii="Times New Roman;serif" w:hAnsi="Times New Roman;serif"/>
          <w:b w:val="false"/>
          <w:color w:val="000000"/>
          <w:sz w:val="22"/>
          <w:u w:val="single"/>
        </w:rPr>
        <w:t>Exhibits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A-1</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RESTRICTIVE COVENANTS AGREEMENT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Grant</w:t>
      </w:r>
      <w:r>
        <w:rPr>
          <w:rFonts w:ascii="Times New Roman;serif" w:hAnsi="Times New Roman;serif"/>
          <w:b w:val="false"/>
          <w:color w:val="000000"/>
          <w:sz w:val="22"/>
        </w:rPr>
        <w:t>. Participant acknowledges that Participant has access to the confidential and proprietary trade secret information of Enviri Corporation, including its subsidiaries, joint ventures, and operating divisions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as further described below (“</w:t>
      </w:r>
      <w:r>
        <w:rPr>
          <w:rFonts w:ascii="Times New Roman;serif" w:hAnsi="Times New Roman;serif"/>
          <w:b/>
          <w:color w:val="000000"/>
          <w:sz w:val="22"/>
        </w:rPr>
        <w:t>Confidential/Proprietary Trade Secret Information</w:t>
      </w:r>
      <w:r>
        <w:rPr>
          <w:color w:val="000000"/>
        </w:rPr>
        <w:t>”</w:t>
      </w:r>
      <w:r>
        <w:rPr>
          <w:rFonts w:ascii="Times New Roman;serif" w:hAnsi="Times New Roman;serif"/>
          <w:b w:val="false"/>
          <w:color w:val="000000"/>
          <w:sz w:val="22"/>
        </w:rPr>
        <w:t>). Further, Participant acknowledges that Participant derives significant value from the Company and from the Confidential/Proprietary Trade Secret Information provided during the term of employment with the Company, which enables Participant to optimize the performance of the Company’s performance and Participant’s own personal, professional, and financial benefit. In consideration of the grant described in the award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to which these terms, conditions and provisions (the “</w:t>
      </w:r>
      <w:r>
        <w:rPr>
          <w:rFonts w:ascii="Times New Roman;serif" w:hAnsi="Times New Roman;serif"/>
          <w:b/>
          <w:color w:val="000000"/>
          <w:sz w:val="22"/>
        </w:rPr>
        <w:t>Restrictive Covenants Agreement</w:t>
      </w:r>
      <w:r>
        <w:rPr>
          <w:color w:val="000000"/>
        </w:rPr>
        <w:t>”</w:t>
      </w:r>
      <w:r>
        <w:rPr>
          <w:rFonts w:ascii="Times New Roman;serif" w:hAnsi="Times New Roman;serif"/>
          <w:b w:val="false"/>
          <w:color w:val="000000"/>
          <w:sz w:val="22"/>
        </w:rPr>
        <w:t xml:space="preserve">) are attached as an exhibit, Participant agrees to the terms of this Restrictive Covenants Agreement.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2.    Except as provided in the State-Specific Modifications in Exhibit A-1, during Participant’s employment by the Company, and for a period of twelve (12) months after the cessation of such employment for any reason (both such periods collectively referred to as the “</w:t>
      </w:r>
      <w:r>
        <w:rPr>
          <w:rFonts w:ascii="Times New Roman;serif" w:hAnsi="Times New Roman;serif"/>
          <w:b/>
          <w:color w:val="000000"/>
          <w:sz w:val="22"/>
        </w:rPr>
        <w:t>Restricted Period</w:t>
      </w:r>
      <w:r>
        <w:rPr>
          <w:color w:val="000000"/>
        </w:rPr>
        <w:t>”</w:t>
      </w:r>
      <w:r>
        <w:rPr>
          <w:rFonts w:ascii="Times New Roman;serif" w:hAnsi="Times New Roman;serif"/>
          <w:b w:val="false"/>
          <w:color w:val="000000"/>
          <w:sz w:val="22"/>
        </w:rPr>
        <w:t>), Participant will not, directly or indirectly, engage in any of the following competitive activities:</w:t>
      </w:r>
    </w:p>
    <w:p>
      <w:pPr>
        <w:pStyle w:val="TextBody"/>
        <w:bidi w:val="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(a)    For Participant or on behalf of any other corporation, business, partnership, limited liability company, unincorporated association, enterprise, or other entity, directly or indirectly solicit, divert, contract with, or attempt to solicit, divert, or contract with,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w:t>
      </w:r>
      <w:r>
        <w:rPr>
          <w:rFonts w:ascii="Times New Roman;serif" w:hAnsi="Times New Roman;serif"/>
          <w:b/>
          <w:color w:val="000000"/>
          <w:sz w:val="22"/>
        </w:rPr>
        <w:t>Material Contact</w:t>
      </w:r>
      <w:r>
        <w:rPr>
          <w:color w:val="000000"/>
        </w:rPr>
        <w:t xml:space="preserve">” </w:t>
      </w:r>
      <w:r>
        <w:rPr>
          <w:rFonts w:ascii="Times New Roman;serif" w:hAnsi="Times New Roman;serif"/>
          <w:b w:val="false"/>
          <w:color w:val="000000"/>
          <w:sz w:val="22"/>
        </w:rPr>
        <w:t>with a customer if: (i) Participant had business dealings with the customer on the Company’s behalf; (ii) Participant was responsible for supervising or coordinating the dealings between the Company and the customer; or (iii) Participant obtained Confidential/Proprietary</w:t>
      </w:r>
      <w:r>
        <w:rPr>
          <w:color w:val="000000"/>
        </w:rPr>
        <w:t xml:space="preserve"> </w:t>
      </w:r>
      <w:r>
        <w:rPr>
          <w:rFonts w:ascii="Times New Roman;serif" w:hAnsi="Times New Roman;serif"/>
          <w:b w:val="false"/>
          <w:color w:val="000000"/>
          <w:sz w:val="22"/>
        </w:rPr>
        <w:t>Trade Secret Information about the customer as a result of Participant’s association with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Within the geographic territory where Participant was employed by the Company, about which Participant obtained knowledge of Confidential/Proprietary Trade Secret Information, or where Participant had Material Contact with the Company’s customers (the “</w:t>
      </w:r>
      <w:r>
        <w:rPr>
          <w:rFonts w:ascii="Times New Roman;serif" w:hAnsi="Times New Roman;serif"/>
          <w:b/>
          <w:color w:val="000000"/>
          <w:sz w:val="22"/>
        </w:rPr>
        <w:t>Restricted Area</w:t>
      </w:r>
      <w:r>
        <w:rPr>
          <w:color w:val="000000"/>
        </w:rPr>
        <w:t>”</w:t>
      </w:r>
      <w:r>
        <w:rPr>
          <w:rFonts w:ascii="Times New Roman;serif" w:hAnsi="Times New Roman;serif"/>
          <w:b w:val="false"/>
          <w:color w:val="000000"/>
          <w:sz w:val="22"/>
        </w:rPr>
        <w:t>): (i) render to any Competitor any services that are the same as, similar to, or competitive with the services that Participant provided to the Company; or (ii) otherwise become employed by or otherwise render services to (as a director, employee, contractor or consultant) or have any ownership interest in any Competitor. “</w:t>
      </w:r>
      <w:r>
        <w:rPr>
          <w:rFonts w:ascii="Times New Roman;serif" w:hAnsi="Times New Roman;serif"/>
          <w:b/>
          <w:color w:val="000000"/>
          <w:sz w:val="22"/>
        </w:rPr>
        <w:t>Competitor</w:t>
      </w:r>
      <w:r>
        <w:rPr>
          <w:rFonts w:ascii="Times New Roman;serif" w:hAnsi="Times New Roman;serif"/>
          <w:b w:val="false"/>
          <w:color w:val="000000"/>
          <w:sz w:val="22"/>
        </w:rPr>
        <w:t>,” for purposes of this Restrictive Covenants Agreement means any business which is engaged in offering the same or similar products or services as, or otherwise competes with those manufactured, designed, offered, or sold by the Company, including its subsidiaries and operating unit(s) with which Participant was employed or in any way involved during the last twelve (12) months of employment with the Company; or</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 induce, offer, assist, encourage or suggest that another corporation, business, partnership, limited liability company, unincorporated association, enterprise, or other entity offer employment to or enter into a consulting arrangement with any employee, agent or representative of the Company or (ii) solicit, induce, offer, assist, encourage or suggest that any employee, agent or representative of the Company terminate his or her employment or business affiliation with the Company or accept employment with any other corporation, business, partnership, limited liability company, unincorporated association, enterprise, or other entity.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Confidential/Proprietary Trade Secret Information</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Participant agrees to keep secret and confidential all Confidential/Proprietary Trade Secret Information (further described below) acquired by Participant while employed by the Company or concerning the business and affairs of the Company, its vendors, its customers, and its affiliates (whether of a business, commercial or technological nature), and further agrees that Participant will not disclose any such Confidential/Proprietary Trade Secret Information so acquired to any individual, partner, company, firm, corporation or other person or use the same in any manner other than in connection with the business and affairs of the Company and its affiliates. Except in the performance of services for the Company, the Participant will not, for so long as the Confidential/Proprietary Trade Secret Information remains so designated under applicable law, use, disclose, reproduce, distribute, </w:t>
      </w: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transmit, reverse engineer, decompile, disassemble, or transfer the Confidential/Proprietary Trade Secret Information or any portion thereof.</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(ii)    For purposes of this Restrictive Covenants Agreement, “</w:t>
      </w:r>
      <w:r>
        <w:rPr>
          <w:rFonts w:ascii="Times New Roman;serif" w:hAnsi="Times New Roman;serif"/>
          <w:b/>
          <w:color w:val="000000"/>
          <w:sz w:val="22"/>
        </w:rPr>
        <w:t>Confidential/Proprietary Trade Secret Information</w:t>
      </w:r>
      <w:r>
        <w:rPr>
          <w:color w:val="000000"/>
        </w:rPr>
        <w:t xml:space="preserve">” </w:t>
      </w:r>
      <w:r>
        <w:rPr>
          <w:rFonts w:ascii="Times New Roman;serif" w:hAnsi="Times New Roman;serif"/>
          <w:b w:val="false"/>
          <w:color w:val="000000"/>
          <w:sz w:val="22"/>
        </w:rPr>
        <w:t>includes all information of a confidential or proprietary nature that relates to the business, products, services, research or development of the Company, and its affiliates or their respective suppliers, distributors, customers, independent contractors or other business relations. Confidential/Proprietary Trade Secret Information also includes, but is not limited to, the following: (A) internal business information (including information relating to strategic and staffing plans and practices, business, training, financial, marketing,</w:t>
      </w:r>
      <w:r>
        <w:rPr>
          <w:color w:val="000000"/>
        </w:rPr>
        <w:t xml:space="preserve"> </w:t>
      </w:r>
      <w:r>
        <w:rPr>
          <w:rFonts w:ascii="Times New Roman;serif" w:hAnsi="Times New Roman;serif"/>
          <w:b w:val="false"/>
          <w:color w:val="000000"/>
          <w:sz w:val="22"/>
        </w:rPr>
        <w:t>promotional and sales plans and practices, cost, rate and pricing structures, accounting and business methods and customer and supplier lists); (B) identities of, individual requirements of, specific contractual arrangements with and information about, the Company’s suppliers, distributors, customers, independent contractors or other business relations and their confidential information; (C) customer usage, volume, and discount information; (D) trade secrets, copyrightable works and other confidential information (including ideas, formulas, recipes, compositions, inventions, innovations, improvements, developments, methods, know-how, manufacturing and production processes and techniques, research and development information, compilations of data and analyses, data and databases relating thereto, techniques, systems, records, manuals, documentation, models, drawings, specifications, designs, plans, proposals, reports and all similar or related information whether patentable or unpatentable and whether or not reduced to practice); (D) other intellectual property rights of the Company, or any of its affiliates; and (E) any other information that would constitute a trade secret under the Pennsylvania Uniform Trade Secrets Act, as amended from time to time (or any successor law). The term “Confidential/Proprietary Trade Secret Information” also includes any information or data described above which the Company obtains from another party and which the Company treats as proprietary or designates as trade secrets, whether or not owned or developed by the Company.</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All documents and materials supplied to Participant or developed by Participant in the course of, or as a result of Participant’s employment at the Company, and all Company Confidential/Proprietary Trade Secret Information, whether in hard copy, electronic format or otherwise shall be the sole property of the Company. Participant will at any time upon the request of the Company and in any event promptly upon termination of Participant’s employment or relationship with the Company, but in any event no later than five (5) business days after such termination, deliver all such materials to the Company and will not retain any originals or copies of such materials, whether in hard copy form or as computerized and/or electronic records. Except to the extent approved by the Company or required by Participant’s bona fide job duties for the Company, the Participant also agrees that Participant will not copy or remove from the Company’s place of business or the place of business of a customer of the Company, property or information belonging to the Company or the customer or entrusted to the Company or the customer. In addition, the Participant agrees that Participant will not provide any such materials to any competitor of or any person or entity seeking to compete with the Company unless specifically approved in writing by the Company. Notwithstanding anything in paragraph 2(d)(3) of this Restrictive Covenants Agreement to the contrary, if the Company needs to take legal action to secure such return delivery of such materials, Participant shall be responsible for all legal fees, costs and expenses incurred by the Company in doing so.</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(iv)    Participant understands that nothing contained in this Restrictive Covenants Agreement limits Participant’s ability to file a charge or complaint with any federal, state or local governmental agency or commission (“</w:t>
      </w:r>
      <w:r>
        <w:rPr>
          <w:rFonts w:ascii="Times New Roman;serif" w:hAnsi="Times New Roman;serif"/>
          <w:b/>
          <w:color w:val="000000"/>
          <w:sz w:val="22"/>
        </w:rPr>
        <w:t>Government Agencies</w:t>
      </w:r>
      <w:r>
        <w:rPr>
          <w:color w:val="000000"/>
        </w:rPr>
        <w:t>”</w:t>
      </w:r>
      <w:r>
        <w:rPr>
          <w:rFonts w:ascii="Times New Roman;serif" w:hAnsi="Times New Roman;serif"/>
          <w:b w:val="false"/>
          <w:color w:val="000000"/>
          <w:sz w:val="22"/>
        </w:rPr>
        <w:t xml:space="preserve">). Participant further understands that this Restrictive Covenants Agreement does not limit Participant’s ability to communicate with any Government Agencies or otherwise participate in any investigation or proceeding that may be </w:t>
      </w: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commenced by any Government Agency including providing documents or other information without notice to the Company. This Restrictive Covenants Agreement does not limit the Participant’s right to receive an award for information provided to any Government Agencies.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    Nothing in this Restrictive Covenants Agreement is intended to or shall be interpreted to prohibit disclosure of information to the limited extent permitted by and in accordance with the federal Defend Trade Secrets Act of 2016 (“DTSA”). Stated otherwise, disclosures that are protected by the DTSA as follows do not violate this Agreement. The DTSA provides that: “(1) An individual shall not be held criminally or civilly liable under any Federal or State trade secret law for the disclosure of a trade secret that – (A) is made – (i) in confident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DTSA further provides that: “(2) An individual who files a lawsuit for retaliation by an employer for reporting a suspected violation of law may disclose the trade secret to the attorney of the individual and use the trade secret information in the court proceeding, if the individual – (A) files any document containing the trade secret under seal; and (B) does not disclose the trade secret, except pursuant to court order.”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Nothing in this Restrictive Covenants Agreement, however, waives or authorizes Participant to waive or disclose any attorney work product, attorney-client privilege, or other legal privilege of the Company.</w:t>
      </w:r>
    </w:p>
    <w:p>
      <w:pPr>
        <w:pStyle w:val="TextBody"/>
        <w:bidi w:val="0"/>
        <w:spacing w:before="0" w:after="24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Subsequent Employment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Advise the Company of New Employment</w:t>
      </w:r>
      <w:r>
        <w:rPr>
          <w:rFonts w:ascii="Times New Roman;serif" w:hAnsi="Times New Roman;serif"/>
          <w:b w:val="false"/>
          <w:color w:val="000000"/>
          <w:sz w:val="22"/>
        </w:rPr>
        <w:t>. In the event of a cessation of Participant’s employment with the Company, and during the Restricted Period described in paragraph 2 above, Participant agrees to disclose to the Company the name and address of any new employer or business affiliation and Participant’s anticipated position within ten (10) calendar days of Participant accepting and, in all events before starting, such position. In the event that Participant fails to notify the Company of such new employment or business affiliation as required above, the Restricted Period will be extended by a period equal to the period of nondisclosure.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Participant’s Ability to Earn Livelihood</w:t>
      </w:r>
      <w:r>
        <w:rPr>
          <w:rFonts w:ascii="Times New Roman;serif" w:hAnsi="Times New Roman;serif"/>
          <w:b w:val="false"/>
          <w:color w:val="000000"/>
          <w:sz w:val="22"/>
        </w:rPr>
        <w:t>. Participant acknowledges that, in the event of a cessation of Participant’s employment with the Company, for any reason and at any time, the provisions of this Restrictive Covenants Agreement, including paragraph 2, will not unreasonably restrict Participant’s ability to earn a living. Participant and the Company acknowledge that Participant’s rights have been limited by this Restrictive Covenants Agreement only to the extent reasonably necessary to protect the legitimate interests of the Company in its Confidential/Proprietary Trade Secret Information.</w:t>
      </w:r>
    </w:p>
    <w:p>
      <w:pPr>
        <w:pStyle w:val="TextBody"/>
        <w:bidi w:val="0"/>
        <w:spacing w:before="0" w:after="240"/>
        <w:jc w:val="left"/>
        <w:rPr/>
      </w:pPr>
      <w:r>
        <w:rPr/>
      </w:r>
    </w:p>
    <w:p>
      <w:pPr>
        <w:pStyle w:val="TextBody"/>
        <w:bidi w:val="0"/>
        <w:spacing w:lineRule="auto" w:line="288"/>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Enforcement</w:t>
      </w:r>
      <w:r>
        <w:rPr>
          <w:rFonts w:ascii="Times New Roman;serif" w:hAnsi="Times New Roman;serif"/>
          <w:b w:val="false"/>
          <w:color w:val="000000"/>
          <w:sz w:val="22"/>
        </w:rPr>
        <w:t xml:space="preserve">. Participant agrees that, if Participant violates the covenants and agreements set forth in this Restrictive Covenants Agreement, the Company would suffer irreparable harm, and that such harm to the Company may be impossible to measure in monetary damages. Accordingly, in addition to any other remedies which the Company may have at law or in equity, the Company will have the right to have all obligations, undertakings, agreements, covenants and other provisions of this Restrictive Covenants Agreement specifically performed by Participant, and the Company will have the right to obtain a temporary restraining order, special injunction, and/or temporary, preliminary and permanent injunctive relief to secure specific performance, and to prevent a breach or contemplated breach, of this </w:t>
      </w:r>
    </w:p>
    <w:p>
      <w:pPr>
        <w:pStyle w:val="TextBody"/>
        <w:bidi w:val="0"/>
        <w:spacing w:before="0" w:after="24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Restrictive Covenants Agreement. The Company will be entitled to an accounting and repayment of all profits, compensation, remunerations or benefits which Participant or others, directly or indirectly, have realized or may realize as a result of, growing out of, or in conjunction with any violation of this Restrictive Covenants Agreement. Such remedies will be an addition to and not in limitation of any injunctive relief or other rights or remedies to which the Company is or may be entitled at law or in equity. In the event that the Company obtains any requested relief in any action brought to enforce the terms of this Restrictive Covenants Agreement through court proceedings, the Company will be entitled to reimbursement for all legal fees, costs and expenses incident to enforcement.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Severability and Reformation</w:t>
      </w:r>
      <w:r>
        <w:rPr>
          <w:rFonts w:ascii="Times New Roman;serif" w:hAnsi="Times New Roman;serif"/>
          <w:b w:val="false"/>
          <w:color w:val="000000"/>
          <w:sz w:val="22"/>
        </w:rPr>
        <w:t xml:space="preserve">. If any section, paragraph, term or provision of this Restrictive Covenants Agreement, or the application thereof, is determined by a competent court or tribunal to be overbroad, invalid or unenforceable, then the other parts of such section, paragraph, term or provision will not be affected thereby and will be given full force and effect without regard to the invalid or unenforceable portions, and the section, paragraph, term or provision of this Restrictive Covenants Agreement will be deemed modified to the extent necessary to render it valid and enforceable. The parties specifically agree that the court or other tribunal shall, and its is the desire of the parties that the court or other tribunal does, reform any such section, paragraph, term or provision to render the Restrictive Covenants Agreement and each such section, paragraph, term or provision enforceable to the maximum extent permitted by law. If the court or other tribunal determines that the section, paragraph, term or provision cannot be modified, then such section, paragraph, term or provision will be stricken from the Restrictive Covenants Agreement and severed, and the other sections, paragraphs, terms and provisions will remain in full force and effect. </w:t>
      </w:r>
    </w:p>
    <w:p>
      <w:pPr>
        <w:pStyle w:val="TextBody"/>
        <w:bidi w:val="0"/>
        <w:spacing w:before="0" w:after="240"/>
        <w:jc w:val="left"/>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Employment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This Restrictive Covenants Agreement does not constitute a guarantee of employment and termination of employment will not affect the enforceability of this Restrictive Covenants Agreement.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Participant agrees that if Participant is transferred from the entity or division which was Participant’s employer at the time Participant signed this Restrictive Covenants Agreement to employment by another division or another company that is a subsidiary or affiliate of Enviri Corporation, and Participant has not entered into a superseding agreement with the new employer covering the subject matter of this Restrictive Covenants Agreement, then this Restrictive Covenants Agreement will continue in effect and the Participant’s new employer will be termed “the Company” for all purposes hereunder and will have the right to enforce this Restrictive Covenants Agreement as Participant’s employer. In the event of any subsequent transfer, Participant’s new employer will succeed to all rights under this Restrictive Covenants Agreement so long as such employer will be Enviri Corporation or one of its subsidiaries or affiliates and so long as this Restrictive Covenants Agreement has not been superseded.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contained in this Restrictive Covenants Agreement are inserted for convenience of reference only, and will not be deemed to be a part of this Restrictive Covenants Agreement for any purposes, and will not in any way define or affect the meaning, construction or scope of any of the provisions of this Restrictive Covenants Agreement.</w:t>
      </w:r>
    </w:p>
    <w:p>
      <w:pPr>
        <w:pStyle w:val="TextBody"/>
        <w:bidi w:val="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 and Forum</w:t>
      </w:r>
      <w:r>
        <w:rPr>
          <w:rFonts w:ascii="Times New Roman;serif" w:hAnsi="Times New Roman;serif"/>
          <w:b w:val="false"/>
          <w:color w:val="000000"/>
          <w:sz w:val="22"/>
        </w:rPr>
        <w:t>. Except as provided in the State-Specific Modifications on Exhibit A-1, this Restrictive Covenants Agreement will be construed under the laws of the Commonwealth of Pennsylvania, without regard to its conflict of law provisions, and the parties consent and agree that the federal and state courts of the Commonwealth of Pennsylvania will have exclusive jurisdiction over any dispute relating to this Restrictive Covenants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Supplemental Nature of this Restrictive Covenants Agreement</w:t>
      </w:r>
      <w:r>
        <w:rPr>
          <w:rFonts w:ascii="Times New Roman;serif" w:hAnsi="Times New Roman;serif"/>
          <w:b w:val="false"/>
          <w:color w:val="000000"/>
          <w:sz w:val="22"/>
        </w:rPr>
        <w:t>. The restrictions set forth in paragraph 2 of this Restrictive Covenants Agreement will be in addition to any other such restrictive covenants agreed to through separate agreements, if any, between Participant and the Company and will survive the exercise of the equity award evidenced by the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Waiver</w:t>
      </w:r>
      <w:r>
        <w:rPr>
          <w:rFonts w:ascii="Times New Roman;serif" w:hAnsi="Times New Roman;serif"/>
          <w:b w:val="false"/>
          <w:color w:val="000000"/>
          <w:sz w:val="22"/>
        </w:rPr>
        <w:t>. The failure by the Company to enforce any right or remedy available to it under this Restrictive Covenants Agreement will not be construed to be a waiver of such right or remedy with respect to any other prior, concurrent or subsequent breach or failure. No waiver of rights under this Restrictive Covenants Agreement will be effective unless made in writing with specific reference to this Restrictive Covenants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Notification</w:t>
      </w:r>
      <w:r>
        <w:rPr>
          <w:rFonts w:ascii="Times New Roman;serif" w:hAnsi="Times New Roman;serif"/>
          <w:b w:val="false"/>
          <w:color w:val="000000"/>
          <w:sz w:val="22"/>
        </w:rPr>
        <w:t>. Participant agrees that it shall notify any potential subsequent employer or business affiliation of the terms of this Restrictive Covenants Agreement before accepting such subsequent employment or business affiliation. Without limiting the foregoing, Participant agrees that the Company may notify any third party about Participant’s obligations under this Restrictive Covenants Agreement until such time as Participant has performed all of Participant’s obligations hereunder. Upon the Company’s request, Participant agrees to provide the Company with information, including, but not limited to, supplying details of Participant’s subsequent employment, sufficient to verify that Participant has not breached, or is not breaching, any covenant in this Restrictive Covenants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Tolling</w:t>
      </w:r>
      <w:r>
        <w:rPr>
          <w:rFonts w:ascii="Times New Roman;serif" w:hAnsi="Times New Roman;serif"/>
          <w:b w:val="false"/>
          <w:color w:val="000000"/>
          <w:sz w:val="22"/>
        </w:rPr>
        <w:t>. In the event that Participant violates any of the covenants set forth in this Restrictive Covenants Agreement, then the Company shall have the benefit of the full period of the covenants such that the covenants shall have the duration of the Restricted Period computed from the date Participant ceased violation of the covenants, either by order of the court or otherwise.</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Acknowledgements</w:t>
      </w:r>
      <w:r>
        <w:rPr>
          <w:rFonts w:ascii="Times New Roman;serif" w:hAnsi="Times New Roman;serif"/>
          <w:b w:val="false"/>
          <w:color w:val="000000"/>
          <w:sz w:val="22"/>
        </w:rPr>
        <w:t xml:space="preserve">. </w:t>
      </w:r>
    </w:p>
    <w:p>
      <w:pPr>
        <w:pStyle w:val="TextBody"/>
        <w:bidi w:val="0"/>
        <w:spacing w:before="0" w:after="2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Participant acknowledges and agrees that this Restrictive Covenants Agreement is in consideration of, (A) the grant evidenced by the Agreement, (B) access to Confidential/Proprietary Trade Secret Information, as required by Participant’s job duties, and (C) access to important customer relationships and the associated customer goodwill of the Company.</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Participant acknowledges that he or she has carefully read and considered the provisions of this Restrictive Covenants Agreement, and that this Restrictive Covenants Agreement is reasonable as to time and scope and activities prohibited, given the Company’s need to protect its interests and given the consideration provided to Participant in the form of the grant evidenced by the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Participant acknowledges that he or she has had an opportunity to consult with an independent legal counsel of Participant’s choosing, and accept the grant contained in the Agreement on the terms set forth in this Restrictive Covenants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Participant, intending to be legally bound, agrees to the foregoing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w:t>
      </w:r>
    </w:p>
    <w:p>
      <w:pPr>
        <w:pStyle w:val="TextBody"/>
        <w:bidi w:val="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A-1</w:t>
        <w:br/>
        <w:t>STATE-SPECIFIC MODIFICATIONS TO RESTRICTIVE COVENANTS AGREEMENT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49"/>
        <w:gridCol w:w="350"/>
        <w:gridCol w:w="2668"/>
        <w:gridCol w:w="2668"/>
        <w:gridCol w:w="377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Minnesota</w:t>
            </w:r>
          </w:p>
        </w:tc>
        <w:tc>
          <w:tcPr>
            <w:tcW w:w="91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Participant primarily resides and works in Minnesota, the following paragraphs of the Restrictive Covenant Agreement are modified as follows: </w:t>
            </w:r>
          </w:p>
          <w:p>
            <w:pPr>
              <w:pStyle w:val="TableContents"/>
              <w:bidi w:val="0"/>
              <w:spacing w:before="0" w:after="0"/>
              <w:jc w:val="left"/>
              <w:rPr/>
            </w:pPr>
            <w:r>
              <w:rPr/>
            </w:r>
          </w:p>
          <w:p>
            <w:pPr>
              <w:pStyle w:val="TableContents"/>
              <w:bidi w:val="0"/>
              <w:spacing w:lineRule="auto" w:line="288" w:before="0" w:after="0"/>
              <w:ind w:left="0" w:right="0" w:hanging="340"/>
              <w:jc w:val="left"/>
              <w:rPr>
                <w:rFonts w:ascii="Times New Roman;serif" w:hAnsi="Times New Roman;serif"/>
                <w:b w:val="false"/>
                <w:color w:val="000000"/>
                <w:sz w:val="22"/>
              </w:rPr>
            </w:pPr>
            <w:r>
              <w:rPr>
                <w:rFonts w:ascii="Times New Roman;serif" w:hAnsi="Times New Roman;serif"/>
                <w:b w:val="false"/>
                <w:color w:val="000000"/>
                <w:sz w:val="22"/>
              </w:rPr>
              <w:t xml:space="preserve">(1) Paragraph 2(a) is stricken and replaced with the following: </w:t>
              <w:br/>
              <w:br/>
              <w:t>“(a)    For Participant or on behalf of any other corporation, business, partnership, limited liability company, unincorporated association, enterprise, or other entity, directly or indirectly solicit or attempt to solicit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“Material Contact” with a customer if: (i) Participant had business dealings with the customer on the Company’s behalf; (ii) Participant was responsible for supervising or coordinating the dealings between the Company and the customer; or (iii) Participant obtained Confidential/Proprietary Trade Secret Information about the customer as a result of Participant’s association with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Paragraph 2(b) is stricken and does not apply to Participant; and</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 The terms “Pennsylvania” and “Commonwealth of Pennsylvania” in paragraph 6(c) are replaced with “Minnesota.”.</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2"/>
        <w:gridCol w:w="283"/>
        <w:gridCol w:w="2729"/>
        <w:gridCol w:w="2729"/>
        <w:gridCol w:w="38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Virginia</w:t>
            </w:r>
          </w:p>
        </w:tc>
        <w:tc>
          <w:tcPr>
            <w:tcW w:w="93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Participant primarily resides and works in Virginia, the following paragraphs of the Restrictive Covenant Agreement are modified as follows: </w:t>
            </w:r>
          </w:p>
          <w:p>
            <w:pPr>
              <w:pStyle w:val="TableContents"/>
              <w:bidi w:val="0"/>
              <w:spacing w:before="0" w:after="0"/>
              <w:jc w:val="left"/>
              <w:rPr/>
            </w:pPr>
            <w:r>
              <w:rPr/>
            </w:r>
          </w:p>
          <w:p>
            <w:pPr>
              <w:pStyle w:val="TableContents"/>
              <w:bidi w:val="0"/>
              <w:spacing w:lineRule="auto" w:line="288" w:before="0" w:after="0"/>
              <w:ind w:left="0" w:right="0" w:hanging="340"/>
              <w:jc w:val="left"/>
              <w:rPr>
                <w:rFonts w:ascii="Times New Roman;serif" w:hAnsi="Times New Roman;serif"/>
                <w:b w:val="false"/>
                <w:color w:val="000000"/>
                <w:sz w:val="22"/>
              </w:rPr>
            </w:pPr>
            <w:r>
              <w:rPr>
                <w:rFonts w:ascii="Times New Roman;serif" w:hAnsi="Times New Roman;serif"/>
                <w:b w:val="false"/>
                <w:color w:val="000000"/>
                <w:sz w:val="22"/>
              </w:rPr>
              <w:t xml:space="preserve">(1) Paragraph 2(a) is stricken and replaced with the following: </w:t>
              <w:br/>
              <w:br/>
              <w:t>“(a)    For Participant or on behalf of any other corporation, business, partnership, limited liability company, unincorporated association, enterprise, or other entity, directly or indirectly solicit or otherwise initiate contact with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“Material Contact” with a customer if: (i) Participant had business dealings with the customer on the Company’s behalf; (ii) Participant was responsible for supervising or coordinating the dealings between the Company and the customer; or (iii) Participant obtained Confidential/Proprietary Trade Secret Information about the customer as a result of Participant’s association with the Company;”</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    Paragraph 2 does not restrict Participant from providing a service to a customer or client of the Company if the employee does not initiate contact with or solicit the customer or client.</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    Paragraph 2(b) does not apply to a “low-wage employee” within the meaning of Code of Virginia § 40.1-28.7:8. </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    For agreements signed on or after July 1, 2026, if Participant is terminated by the Company without cause, Paragraph 2(b) does not apply to Participant unless the Company pays to Participant a payment in the amount of $1,000.00. </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    The terms “Pennsylvania” in paragraph 6(c) is replaced with “Virigina”.</w:t>
            </w:r>
          </w:p>
        </w:tc>
      </w:tr>
    </w:tbl>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w:t>
      </w:r>
    </w:p>
    <w:p>
      <w:pPr>
        <w:pStyle w:val="TextBody"/>
        <w:bidi w:val="0"/>
        <w:spacing w:before="0" w:after="24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ADDITIONAL TERMS AND CONDITIONS FOR INTERNATIONAL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Exhibit B (this “</w:t>
      </w:r>
      <w:r>
        <w:rPr>
          <w:rFonts w:ascii="Times New Roman;serif" w:hAnsi="Times New Roman;serif"/>
          <w:b/>
          <w:color w:val="000000"/>
          <w:sz w:val="22"/>
        </w:rPr>
        <w:t>Exhibit</w:t>
      </w:r>
      <w:r>
        <w:rPr>
          <w:color w:val="000000"/>
        </w:rPr>
        <w:t>”</w:t>
      </w:r>
      <w:r>
        <w:rPr>
          <w:rFonts w:ascii="Times New Roman;serif" w:hAnsi="Times New Roman;serif"/>
          <w:b w:val="false"/>
          <w:color w:val="000000"/>
          <w:sz w:val="22"/>
        </w:rPr>
        <w:t>), which is part of the Agreement, contains additional terms and conditions that govern the RSUs granted to the Participant under the Plan if he or she resides outside the United States. The terms and conditions in Part A apply to all Participants outside the United States. The country-specific terms and conditions and/or notifications in Part B will also apply to the Participant if he or she resides in one of the countries listed below. Unless otherwise defined, capitalized terms used but not defined in this Exhibit have the meanings set forth in the Plan and/or the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Exhibit also includes information regarding exchange controls and certain other issues of which the Participant should be aware with respect to participation in the Plan. The information is based on the exchange control, securities and other laws in effect in the respective countries as of May 2026. Such laws are often complex and change frequently. As a result, the Company strongly recommends that the Participant not rely on the information in this Exhibit as the only source of information relating to the consequences of his or her participation in the Plan because the information may be out of date at the time that the Participant vests in the RSUs or sell shares of Common Stock acquired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is advised to seek appropriate professional advice as to how the relevant laws in his or her country may apply to the Participant’s situation.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Finally, if the Participant is a citizen or resident, or is considered a resident, of a country other than the one in which he or she is currently working, or transferred employment after the RSUs were granted to him or her, the information contained herein may not be applicable. In addition, the Company shall, in its sole discretion, determine to what extent the additional terms and conditions included herein will apply to you under these circumstances.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    </w:t>
      </w:r>
      <w:r>
        <w:rPr>
          <w:rFonts w:ascii="Times New Roman;serif" w:hAnsi="Times New Roman;serif"/>
          <w:b/>
          <w:color w:val="000000"/>
          <w:sz w:val="22"/>
          <w:u w:val="single"/>
        </w:rPr>
        <w:t>ALL NON-U.S. COUNTRIES ADDITIONAL 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additional terms and conditions will apply to the Participant if he or she resides in any country outside the United States.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Responsibility for Taxes</w:t>
      </w:r>
      <w:r>
        <w:rPr>
          <w:rFonts w:ascii="Times New Roman;serif" w:hAnsi="Times New Roman;serif"/>
          <w:b w:val="false"/>
          <w:color w:val="000000"/>
          <w:sz w:val="22"/>
        </w:rPr>
        <w:t>. The following section replaces Section 10 of the Agreement in its entirety:</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The Participant acknowledges that, regardless of any action taken by the Company or, if different, the Participant’s employer (the “</w:t>
      </w:r>
      <w:r>
        <w:rPr>
          <w:rFonts w:ascii="Times New Roman;serif" w:hAnsi="Times New Roman;serif"/>
          <w:b/>
          <w:color w:val="000000"/>
          <w:sz w:val="22"/>
        </w:rPr>
        <w:t>Employer</w:t>
      </w:r>
      <w:r>
        <w:rPr>
          <w:color w:val="000000"/>
        </w:rPr>
        <w:t>”</w:t>
      </w:r>
      <w:r>
        <w:rPr>
          <w:rFonts w:ascii="Times New Roman;serif" w:hAnsi="Times New Roman;serif"/>
          <w:b w:val="false"/>
          <w:color w:val="000000"/>
          <w:sz w:val="22"/>
        </w:rPr>
        <w:t>),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color w:val="000000"/>
          <w:sz w:val="22"/>
        </w:rPr>
        <w:t>Tax-Related Items</w:t>
      </w:r>
      <w:r>
        <w:rPr>
          <w:color w:val="000000"/>
        </w:rPr>
        <w:t>”</w:t>
      </w:r>
      <w:r>
        <w:rPr>
          <w:rFonts w:ascii="Times New Roman;serif" w:hAnsi="Times New Roman;serif"/>
          <w:b w:val="false"/>
          <w:color w:val="000000"/>
          <w:sz w:val="22"/>
        </w:rPr>
        <w:t xml:space="preserve">)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RSU, including, but not limited to, the grant, vesting or settlement of the RSUs, the subsequent sale of shares of Common Stock acquired pursuant to such settlement and the receipt of any </w:t>
      </w:r>
    </w:p>
    <w:p>
      <w:pPr>
        <w:pStyle w:val="TextBody"/>
        <w:bidi w:val="0"/>
        <w:spacing w:before="0" w:after="24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dividends and/or any dividend equivalents; and (2)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between the Date of Grant and the date of any relevant taxable or tax withholding event, as applicable, the Participant acknowledges that the Company and/or the Employer (or former employer, as applicable) may be required to withhold or account for Tax-Related Items in more than one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Prior to any relevant taxable or tax withholding event, as applicable, the Participant agrees to make adequate arrangements satisfactory to the Company and/or the Employer to satisfy all Tax-Related Items. In this regard, the Participant authorizes the Company and/or the Employer to satisfy the obligations with regard to all Tax-Related Items by one or a combination of the following methods: (i) requiring payment by the Participant to the Company, on demand, by cash, check or other method of payment as may be determined acceptable by the Company; or (ii) withholding from the Participant’s wages or other cash compensation paid to the Participant by the Company and/or the Employer; or (iii) withholding from proceeds of the sale of shares of Common Stock acquired at vesting of the RSUs either through a voluntary sale or through a mandatory sale arranged by the Company (on the Participant’s behalf pursuant to this authorization) without further consent; or (iv) withholding shares of Common Stock issuable at vesting of the RSUs.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Depending on the withholding method, the Company and/or the Employer may withhold or account for Tax-Related Items by considering applicable minimum statutory withholding rates or other applicable withholding rates, including maximum applicable rates, in which case the Participant will receive a refund of any over-withheld amount in cash and will have no entitlement to the Common Stock equivalent.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Finally, the Participant agrees to pay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of Common Stock, if the Participant fails to comply with the Participant’s obligations in connection with the Tax-Related Items.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u w:val="single"/>
        </w:rPr>
        <w:t>Nature of Grant</w:t>
      </w:r>
      <w:r>
        <w:rPr>
          <w:rFonts w:ascii="Times New Roman;serif" w:hAnsi="Times New Roman;serif"/>
          <w:b w:val="false"/>
          <w:color w:val="000000"/>
          <w:sz w:val="22"/>
        </w:rPr>
        <w:t xml:space="preserve">. In accepting the grant, the Participant acknowledges, understands and agrees that: (1) the Plan is established voluntarily by the Company, it is discretionary in nature and it may be modified, amended, suspended or terminated by the Company at any time, to the extent permitted by the Plan; (2) all decisions with respect to future RSU or other grants, if any, will be at the sole discretion of the Company; (3) the Participant is voluntarily participating in the Plan; (4) the RSU and the shares of Common Stock subject to the RSU are not intended to replace any pension rights or compensation; (5) the future value of the underlying shares of Common Stock is unknown, indeterminable and cannot be predicted with certainty; (6) no claim or entitlement to compensation or damages shall arise from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and in consideration of the grant of the RSUs to which the Participant is otherwise not entitled, the Participant irrevocably agrees never to institute any claim against the Company, any of its Subsidiaries or the Employer, waives the Participant’s ability, if any, to bring any </w:t>
      </w:r>
    </w:p>
    <w:p>
      <w:pPr>
        <w:pStyle w:val="TextBody"/>
        <w:bidi w:val="0"/>
        <w:spacing w:before="0" w:after="24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such claim, and releases the Company, its Subsidiaries and the Employer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 (7) for purposes of the RSUs, the Participant’s employment or service relationship will be considered terminated as of the date the Participant is no longer actively providing services to the Company or one of its Subsidiaries (regardless of the reason for such termination and whether or not later found to be invalid or in breach of employment laws in the jurisdiction where the Participant is employed or providing services or the terms of the Participant’s employment or service agreement, if any) and unless otherwise expressly provided in these Terms and Conditions or determined by the Company, the Participant’s right to vest in the RSUs under the Plan, if any, will terminate as of such date and will not be extended by any notice period (e.g., the Participant’s period of service would not include any contractual notice period or any period of “garden leave” or similar period mandated under employment laws in the jurisdiction where the Participant is employed or providing services or the terms of the Participant’s employment or service agreement, if any); the Company shall have the exclusive discretion to determine when the Participant is no longer actively providing services for purposes of the Participant’s RSU grant (including whether the Participant may still be considered to be providing services while on an approved leave of absence); (8) unless otherwise provided in the Plan or by the Company in its discretion, the RSUs and the benefits evidenced by these Terms and Conditions do not create any entitlement to have the RSUs or any such benefits transferred to, or assumed by, another company nor to be exchanged, cashed out or substituted for, in connection with any corporate transaction affecting the shares of the Company; (9) the RSUs and the shares of Common Stock subject to the RSUs, and the income and value of same, are not part of normal or expected compensation for any purpose, including, without limitation, calculating severance, resignation, termination, redundancy, dismissal, end-of-service payments, bonuses, long-service awards, pension or retirement or welfare benefits or similar payments; and (10) the Participant acknowledges and agrees that neither the Company, the Employer nor any subsidiary or affiliate of the Company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the Participant’s participation in the Plan, or the Participant’s acquisition or sale of the underlying shares of Common Stock. The Participant is hereby advised to consult with the Participant’s own personal tax, legal and financial advisors regarding the Participant’s participation in the Plan before taking any action related to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Data Privacy for Participants not based in the European Economic Area or the United Kingdom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Participant hereby explicitly and unambiguously consents to the collection, use and transfer, in electronic or other form, including email, of the Participant’s personal data as described in the Agreement and any other RSU grant materials (“</w:t>
      </w:r>
      <w:r>
        <w:rPr>
          <w:rFonts w:ascii="Times New Roman;serif" w:hAnsi="Times New Roman;serif"/>
          <w:b/>
          <w:color w:val="000000"/>
          <w:sz w:val="22"/>
        </w:rPr>
        <w:t>Data</w:t>
      </w:r>
      <w:r>
        <w:rPr>
          <w:color w:val="000000"/>
        </w:rPr>
        <w:t>”</w:t>
      </w:r>
      <w:r>
        <w:rPr>
          <w:rFonts w:ascii="Times New Roman;serif" w:hAnsi="Times New Roman;serif"/>
          <w:b w:val="false"/>
          <w:color w:val="000000"/>
          <w:sz w:val="22"/>
        </w:rPr>
        <w:t>) by and among, as applicable, the Employer, the Company and its subsidiaries and affiliates for the exclusive purpose of implementing, administering and managing the Participant’s participation in the Plan.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Participant understands that the Company and the Employer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details of all RSUs or any other entitlement to </w:t>
      </w: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shares of stock awarded, canceled, exercised, vested, unvested or outstanding in the Participant’s favor, for the exclusive purpose of implementing, administering and managing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Data will be transferred to the Company’s stock transfer agent and/or broker, or such other stock plan service provider as may be selected by the Company in the future, which is assisting the Company with the implementation, administration and management of the Plan. The Participant understands that the recipients of the Data may be located in the United States or elsewhere (including outside the EEA),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the Company’s stock transfer agent and/or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the Participant is providing the consents herein on a purely voluntary basis. If the Participant does not consent, or if the Participant later seeks to revoke the Participant’s consent, the Participant’s employment status or service and career with the Employer will not be adversely affected; the only adverse consequence of refusing or withdrawing the Participant’s consent is that the Company would not be able to grant the Participant RSUs or other equity awards or administer or maintain such awards. Therefore, the Participant understands that refusing or withdrawing the Participant’s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Data Privacy for Participants based in the European Economic Area (including the 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and its subsidiaries and affiliates will process the data of the Participant in accordance with (i) the applicable data privacy policy or policies adopted by the Company or its subsidiaries and affiliates; and (ii) the data privacy notice(s) provided to the Participant covering the processing of the Participant’s data in connection with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and acknowledges that the processing of their data by the Company and its subsidiaries and affiliates in relation to the operation of the Plan is necessary for (i) the performance of the Agreement; (ii) to comply with any legal obligation in relation to the operation of the Plan; and (iii) to account for any tax and duties in relation to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Governing Law and Venue</w:t>
      </w:r>
      <w:r>
        <w:rPr>
          <w:rFonts w:ascii="Times New Roman;serif" w:hAnsi="Times New Roman;serif"/>
          <w:b w:val="false"/>
          <w:color w:val="000000"/>
          <w:sz w:val="22"/>
        </w:rPr>
        <w:t>. The RSU grant and the provisions of the Agreement are governed by, and subject to, the internal substantive laws of the State of Delaware, United States of America (with the exception of its conflict of law provisions).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litigating any dispute that arises directly or indirectly from the relationship of the parties evidenced by this grant or the Agreement, the parties hereby submit to and consent to the exclusive </w:t>
      </w: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jurisdiction of the Commonwealth of Pennsylvania in the United States of America and agree that such litigation shall be conducted only in the courts of Cumberland County, the Commonwealth of Pennsylvania, or the federal courts for the United States of America for the Middle District of Pennsylvania, and no other courts, where this grant is made and/or to be performed.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Compliance with Law</w:t>
      </w:r>
      <w:r>
        <w:rPr>
          <w:rFonts w:ascii="Times New Roman;serif" w:hAnsi="Times New Roman;serif"/>
          <w:b w:val="false"/>
          <w:color w:val="000000"/>
          <w:sz w:val="22"/>
        </w:rPr>
        <w:t>. The following section supplements Section 8 of the Agreement: Notwithstanding any other provision of the Plan or the Agreement, unless there is an available exemption from any registration, qualification or other legal requirement applicable to the shares of Common Stock, the Company shall not be required to deliver any shares issuable upon settlement of the RSUs prior to the completion of any registration or qualification of the shares under any local, state, federal or foreign securities or exchange control law or under rulings or regulations of the U.S. Securities and Exchange Commission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Company shall have unilateral authority to amend the Plan and the Agreement without the Participant’s consent to the extent necessary to comply with securities or other laws applicable to issuance of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Language</w:t>
      </w:r>
      <w:r>
        <w:rPr>
          <w:rFonts w:ascii="Times New Roman;serif" w:hAnsi="Times New Roman;serif"/>
          <w:b w:val="false"/>
          <w:color w:val="000000"/>
          <w:sz w:val="22"/>
        </w:rPr>
        <w:t>. If the Participant has received the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including email.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Severability</w:t>
      </w:r>
      <w:r>
        <w:rPr>
          <w:rFonts w:ascii="Times New Roman;serif" w:hAnsi="Times New Roman;serif"/>
          <w:b w:val="false"/>
          <w:color w:val="000000"/>
          <w:sz w:val="22"/>
        </w:rPr>
        <w:t>. The provisions of these Terms and Conditions are severable and if any one or more provisions are determined to be illegal or otherwise unenforceable, in whole or in part, the remaining provisions shall nevertheless be binding and enforceable.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Subject to Section 14 of the Agreement, the Company reserves the right to impose other requirements on the Participant’s participation in the Plan, on the RSUs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Waiver</w:t>
      </w:r>
      <w:r>
        <w:rPr>
          <w:rFonts w:ascii="Times New Roman;serif" w:hAnsi="Times New Roman;serif"/>
          <w:b w:val="false"/>
          <w:color w:val="000000"/>
          <w:sz w:val="22"/>
        </w:rPr>
        <w:t>. The Participant acknowledges that a waiver by the Company of breach of any provision of these Terms and Conditions shall not operate or be construed as a waiver of any other provision of these Terms and Conditions, or of any subsequent breach by the Participant or any other Participant.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B.    </w:t>
      </w:r>
      <w:r>
        <w:rPr>
          <w:rFonts w:ascii="Times New Roman;serif" w:hAnsi="Times New Roman;serif"/>
          <w:b/>
          <w:color w:val="000000"/>
          <w:sz w:val="22"/>
          <w:u w:val="single"/>
        </w:rPr>
        <w:t>COUNTRY-SPECIFIC ADDITIONAL TERMS AND CONDITIONS AND 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BAHRAIN</w:t>
      </w:r>
    </w:p>
    <w:p>
      <w:pPr>
        <w:pStyle w:val="TextBody"/>
        <w:bidi w:val="0"/>
        <w:spacing w:before="0" w:after="0"/>
        <w:jc w:val="both"/>
        <w:rPr/>
      </w:pPr>
      <w:r>
        <w:rPr/>
      </w:r>
    </w:p>
    <w:p>
      <w:pPr>
        <w:pStyle w:val="TextBody"/>
        <w:bidi w:val="0"/>
        <w:spacing w:lineRule="auto" w:line="288"/>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grant of the RSUs and any payments made hereunder will not be considered salary, wages or other fixed compensation for purposes of any severance pay, end of service gratuity or similar allowance or entitlement, except as otherwise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Reporting Information</w:t>
      </w:r>
      <w:r>
        <w:rPr>
          <w:rFonts w:ascii="Times New Roman;serif" w:hAnsi="Times New Roman;serif"/>
          <w:b w:val="false"/>
          <w:color w:val="000000"/>
          <w:sz w:val="22"/>
        </w:rPr>
        <w:t>. Participant is required to report any bank accounts opened and maintained outside of Belgium on his or her annual Belgian tax return.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BRAZIL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Compliance with Law</w:t>
      </w:r>
      <w:r>
        <w:rPr>
          <w:rFonts w:ascii="Times New Roman;serif" w:hAnsi="Times New Roman;serif"/>
          <w:b w:val="false"/>
          <w:color w:val="000000"/>
          <w:sz w:val="22"/>
        </w:rPr>
        <w:t xml:space="preserve">. By accepting the RSUs, the Participant acknowledges that he or she agrees that (i) the grant, vesting/settlement and delivery of any shares occur outside Brazil by Enviri Corporation (a Delaware corporation) and do not involve a public offering of securities in Brazil and (ii) the Participant will comply with applicable Brazilian laws in connection with holding and disposing of assets abroad, including the receipt of any dividends, and any reporting obligations related to such assets.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Labor and Social Security Law.</w:t>
      </w:r>
      <w:r>
        <w:rPr>
          <w:color w:val="000000"/>
        </w:rPr>
        <w:t xml:space="preserve"> </w:t>
      </w:r>
      <w:r>
        <w:rPr>
          <w:rFonts w:ascii="Times New Roman;serif" w:hAnsi="Times New Roman;serif"/>
          <w:b w:val="false"/>
          <w:color w:val="000000"/>
          <w:sz w:val="22"/>
        </w:rPr>
        <w:t>For Participants resident or employed in Brazil, the RSUs are granted on a discretionary basis, are not part of fixed or ordinary compensation, and shall not be considered salary or remuneration for purposes of Brazilian labor and social security laws, including for purposes of severance payments, vacation pay, 13th salary, FGTS contributions, notice payments, overtime, social security contributions or any other labor entitlement, except as otherwise determined by mandatory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restrictive covenants applicable to Participants resident or employed in Brazil shall apply only to the extent enforceable under applicable Brazilian law, including applicable requirements regarding reasonable scope, duration and financial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w:t>
      </w:r>
      <w:r>
        <w:rPr>
          <w:color w:val="000000"/>
        </w:rPr>
        <w:t xml:space="preserve"> </w:t>
      </w:r>
      <w:r>
        <w:rPr>
          <w:rFonts w:ascii="Times New Roman;serif" w:hAnsi="Times New Roman;serif"/>
          <w:b w:val="false"/>
          <w:color w:val="000000"/>
          <w:sz w:val="22"/>
        </w:rPr>
        <w:t>Participation in the Plan in Brazil is made on a private basis to a restricted group of eligible participants and does not constitute a public offering of securities in Brazil. No registration with the Brazilian Securities and Exchange Commission (CVM) is required for the grant, vesting/settlement or delivery of shares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Dividend Equivalents are granted solely in connection with the equity incentive nature of the RSUs and not as consideration for services rendered.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xml:space="preserve">. If the Participant is resident or domiciled in Brazil, he or she will be required to submit annually a declaration of assets and rights held outside of Brazil to the Banco Central do Brasil (CBE — Declaração de Capitais Brasileiros no Exterior) if the aggregate value of such assets and rights equals or exceeds the threshold established by BCB regulations in force at the time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declaration (currently USD 1,000,000, or equivalent, as of December 31 of each calendar year). Assets and rights that must be reported include shares of Common Stock acquired upon vesting of RSUs, and may also include unvested RSUs to the extent they are treated as rights with determinable value under applicable BCB guidance. Brazilian resident Participants are strongly advised to consult their legal and tax advisors regarding the CBE reporting obligations applicable to their specific circumstances, as such regulations are subject to change.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Capital Gains Tax</w:t>
      </w:r>
      <w:r>
        <w:rPr>
          <w:rFonts w:ascii="Times New Roman;serif" w:hAnsi="Times New Roman;serif"/>
          <w:b w:val="false"/>
          <w:color w:val="000000"/>
          <w:sz w:val="22"/>
        </w:rPr>
        <w:t>. Brazilian resident Participants who sell shares of Common Stock acquired upon vesting of RSUs may be subject to Brazilian capital gains tax (IRPF — ganho de capital) on the positive difference between the sale proceeds and the tax cost basis of the shares (which, as a general matter, corresponds to the fair market value of the shares at the time of vesting, as reported for carnê-leão purposes). Capital gains must be calculated and reported using the Programa de Apuração de Ganhos de Capital (GCAP), and the corresponding IRPF must be paid by the last business day of the month following the month of the sale. The applicable rates range from 15% to 22.5% depending on the amount of the gain realized. Brazilian resident Participants are advised to consult their personal tax advisors regarding the applicable rates and reporting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Annual Income Tax Return - Foreign Assets</w:t>
      </w:r>
      <w:r>
        <w:rPr>
          <w:rFonts w:ascii="Times New Roman;serif" w:hAnsi="Times New Roman;serif"/>
          <w:b w:val="false"/>
          <w:color w:val="000000"/>
          <w:sz w:val="22"/>
        </w:rPr>
        <w:t>. Brazilian resident Participants who hold shares of Common Stock outside Brazil are required to declare such shares as 'Bens e Direitos' (Assets and Rights) in their annual DIRPF, using the applicable code for shares in foreign companies, at the acquisition cost (in Brazilian reais, converted at the PTAX exchange rate on the relevant date). Unvested RSUs may also be reportable as rights to receive foreign shares, and Participants are advised to consult their personal tax advisors regarding the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Participants resident or domiciled in Brazil, since RSUs are granted by a foreign entity with no Brazilian affiliate or employer acting as withholding agent, no Brazilian income tax (IRPF) will be withheld at source. Brazilian resident Participants are solely responsible for (i) calculating and paying IRPF, if applicable; and (ii) their Brazilian individual income tax return (Declaração de Ajuste Anual — DIRPF).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Settlement</w:t>
      </w:r>
      <w:r>
        <w:rPr>
          <w:rFonts w:ascii="Times New Roman;serif" w:hAnsi="Times New Roman;serif"/>
          <w:b w:val="false"/>
          <w:color w:val="000000"/>
          <w:sz w:val="22"/>
        </w:rPr>
        <w:t>. Notwithstanding any discretion in the Plan or anything to the contrary in this Agreement, this grant of RSUs, along with any dividend equivalent amounts otherwise payable under Section 6 of this Agreement, shall only be settled in newly-issued shares of Common Stock, and without the use of any form of employee benefit trust. This provision is without prejudice to the application of Section 8 of this Agreement or Section 13.5 of the Plan, provided the Participant has been given a reasonable opportunity to pay (either out his/her own funds or via payroll deduction) all relevant amounts required to be withheld or remitted in connection with taxes, source deductions or any other similar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Continuous Employment</w:t>
      </w:r>
      <w:r>
        <w:rPr>
          <w:rFonts w:ascii="Times New Roman;serif" w:hAnsi="Times New Roman;serif"/>
          <w:b w:val="false"/>
          <w:color w:val="000000"/>
          <w:sz w:val="22"/>
        </w:rPr>
        <w:t>. The following provision supplements this Agreement and the Plan: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A Participant’s Continuous Service (or substantially similar term), as the case may be, will be deemed to have been terminated (regardless of the reason for the termination and whether or not later found to be invalid or in breach of applicable law in the jurisdiction where Participant is rendering services or the terms of Participant’s employment or other service agreement, if any) on the date that is the earliest of (1) the termination date of Participant’s status as an employee, (2) the date Participant receives written notice </w:t>
      </w:r>
    </w:p>
    <w:p>
      <w:pPr>
        <w:pStyle w:val="TextBody"/>
        <w:bidi w:val="0"/>
        <w:spacing w:before="0" w:after="24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 termination of Participant’s status as an employee or service provider, or (3) the date Participant is no longer actively employed by or actively providing services to the Company or any of its subsidiaries regardless of any notice period or period of pay in lieu of such notice mandated under applicable law (including, but not limited to, statutory law, regulatory law and/or common law) in the jurisdiction where Participant is employed or rendering service or the terms of Participant’s employment or other service agreement,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applicable employment or labour standards legislation explicitly requires continued participation in the Plan during a statutory notice period, Participant acknowledges that his or her right to participate in the Plan, if any, will terminate effective as of the last day of Participant’s minimum statutory notice period, but Participant will not earn or be entitled to pro-rata vesting if the vesting date falls after the end of Participant’s statutory notice period, nor will Participant be entitled to any compensation for lost vesting.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Cause</w:t>
      </w:r>
      <w:r>
        <w:rPr>
          <w:rFonts w:ascii="Times New Roman;serif" w:hAnsi="Times New Roman;serif"/>
          <w:b w:val="false"/>
          <w:color w:val="000000"/>
          <w:sz w:val="22"/>
        </w:rPr>
        <w:t>. For purposes of this Agreement and the Plan, “</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 xml:space="preserve">means the occurrence of any of the following: (A) an act or acts of personal dishonesty taken by the Participant and intended to result in substantial personal enrichment of the Participant at the expense of the Company; (B) repeated failure by the Participant to devote reasonable attention and time during normal business hours to the business and affairs of the Company or to use the Participant’s reasonable best efforts to perform faithfully and efficiently the responsibilities assigned to the Participant (provided that such failure is demonstrated to be willful and deliberate on the Participant’s part and is not remedied in a reasonable period of time after receipt of written notice from the Company); or (C) the conviction of the Participant of a felony, indictable offence, or summary conviction offence that is related to the employment or intended employment of the Participant;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Participant is employed in the Province of Ontario, “Cause” instead means willful misconduct, disobedience or willful neglect of duty that is not trivial and has not been condoned by the Company or a subsidiary.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securities granted to you in this Agreement and the issuance of any Common Stock underlying such securities is made in reliance upon applicable exemptions from the prospectus requirements of applicable Canadian securities legislation, including National Instrument 45-106 – </w:t>
      </w:r>
      <w:r>
        <w:rPr>
          <w:rFonts w:ascii="Times New Roman;serif" w:hAnsi="Times New Roman;serif"/>
          <w:b w:val="false"/>
          <w:i/>
          <w:color w:val="000000"/>
          <w:sz w:val="22"/>
        </w:rPr>
        <w:t>Prospectus Exemptions.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Your participation in the Plan is voluntary, and you acknowledge and agree that you have not been induced to enter into this Agreement or acquire any RSUs or Common Stock by expectation of employment, engagement or appointment or continued employment, engagement or appointment.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 xml:space="preserve">Any Common Stock issued to a Participant resident in Canada will be subject to resale restrictions under applicable Canadian securities laws, including National Instrument 45-102 – </w:t>
      </w:r>
      <w:r>
        <w:rPr>
          <w:rFonts w:ascii="Times New Roman;serif" w:hAnsi="Times New Roman;serif"/>
          <w:b w:val="false"/>
          <w:i/>
          <w:color w:val="000000"/>
          <w:sz w:val="22"/>
        </w:rPr>
        <w:t>Resale of Securities</w:t>
      </w:r>
      <w:r>
        <w:rPr>
          <w:rFonts w:ascii="Times New Roman;serif" w:hAnsi="Times New Roman;serif"/>
          <w:b w:val="false"/>
          <w:color w:val="000000"/>
          <w:sz w:val="22"/>
        </w:rPr>
        <w:t xml:space="preserve">, and may not be traded in Canada except in reliance on an available exemption or outside Canada in accordance with applicable laws. The resale restrictions applicable to the Participant may vary depending on the Company’s status under Canadian securities laws at the time of disposition. You understand that you are permitted to sell Common Stock acquired pursuant to the Plan, provided that the Company is a “foreign issuer” that is not a “reporting issuer” in any jurisdiction of Canada on the distribution date of the Award and on the date the Common Stock is sold and the sale of the Common Stock acquired pursuant to the Plan takes place: (i) through an exchange, or a market, outside of Canada on the distribution date; or (ii) to a person or company outside of Canada. For purposes hereof, in addition to not </w:t>
      </w:r>
    </w:p>
    <w:p>
      <w:pPr>
        <w:pStyle w:val="TextBody"/>
        <w:bidi w:val="0"/>
        <w:spacing w:before="0" w:after="24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being a reporting issuer in any jurisdiction of Canada, a “foreign issuer” is an issuer that: (i) is not incorporated or existing pursuant to the laws of Canada or any jurisdiction of Canada; (ii) does not have its head office in Canada; and (iii) does not have a majority of its executive officers or directors ordinarily resident in Canada on the distribution date of the Award. If any designated broker is appointed under the Plan, you shall sell such securities through the designated broker.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Any certificates or electronic records representing any Common Stock issued to a Participant resident in Canada shall bear such legends as the Company determines necessary or desirable to comply with applicable Canadian securities laws.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Tax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Foreign Asset/Account Reporting Information</w:t>
      </w:r>
      <w:r>
        <w:rPr>
          <w:rFonts w:ascii="Times New Roman;serif" w:hAnsi="Times New Roman;serif"/>
          <w:b w:val="false"/>
          <w:color w:val="000000"/>
          <w:sz w:val="22"/>
        </w:rPr>
        <w:t xml:space="preserve">. Participant will generally be required to report any “specified foreign property” (as defined in the </w:t>
      </w:r>
      <w:r>
        <w:rPr>
          <w:rFonts w:ascii="Times New Roman;serif" w:hAnsi="Times New Roman;serif"/>
          <w:b w:val="false"/>
          <w:i/>
          <w:color w:val="000000"/>
          <w:sz w:val="22"/>
        </w:rPr>
        <w:t>Income Tax Act</w:t>
      </w:r>
      <w:r>
        <w:rPr>
          <w:color w:val="000000"/>
        </w:rPr>
        <w:t xml:space="preserve"> </w:t>
      </w:r>
      <w:r>
        <w:rPr>
          <w:rFonts w:ascii="Times New Roman;serif" w:hAnsi="Times New Roman;serif"/>
          <w:b w:val="false"/>
          <w:color w:val="000000"/>
          <w:sz w:val="22"/>
        </w:rPr>
        <w:t>(Canada) on form T1135 (Foreign Income Verification Statement) if the total cost amount of all “specified foreign property” exceeds C$100,000 at any time in the year. Specified foreign property will generally include Common Stock acquired under the Plan and may include the RSUs. The RSUs must be reported (generally at a nil cost) if the C$100,000 cost threshold is exceeded because of other specified foreign property Participant holds. The cost to a Participant of Common Stock acquired would generally equal the fair market value of the Common Stock at the time of acquisition. However, if Participant owns other Common Stock, the adjusted cost base (“</w:t>
      </w:r>
      <w:r>
        <w:rPr>
          <w:rFonts w:ascii="Times New Roman;serif" w:hAnsi="Times New Roman;serif"/>
          <w:b/>
          <w:color w:val="000000"/>
          <w:sz w:val="22"/>
        </w:rPr>
        <w:t>ACB</w:t>
      </w:r>
      <w:r>
        <w:rPr>
          <w:color w:val="000000"/>
        </w:rPr>
        <w:t>”</w:t>
      </w:r>
      <w:r>
        <w:rPr>
          <w:rFonts w:ascii="Times New Roman;serif" w:hAnsi="Times New Roman;serif"/>
          <w:b w:val="false"/>
          <w:color w:val="000000"/>
          <w:sz w:val="22"/>
        </w:rPr>
        <w:t>) of any Common Stock acquired will be determined by averaging the cost of such Common Stock with the ACB of all other Common Stock held by the Participant as capital property at such time. The form must be filed by the Participant’s income tax return filing due date following the taxation year in question. Participant should consult with his or her personal legal and tax advisor, as the case may be, to ensure compliance with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For Participants in the Province of Ontario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Non-Competition Agreement</w:t>
      </w:r>
      <w:r>
        <w:rPr>
          <w:rFonts w:ascii="Times New Roman;serif" w:hAnsi="Times New Roman;serif"/>
          <w:b w:val="false"/>
          <w:color w:val="000000"/>
          <w:sz w:val="22"/>
        </w:rPr>
        <w:t>. Section 1(b) of the Non-Competition Agreement does not apply to non-Executive Participants employed in the Province of Ontario, where “Executive” has the meaning given to it in the Working for Workers Act (Ontario).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CHINA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following provisions apply to Participants who, as the Company determines in its sole discretion, are subject to foreign exchange control requirements in the People's Republic of China ("</w:t>
      </w:r>
      <w:r>
        <w:rPr>
          <w:rFonts w:ascii="Times New Roman;serif" w:hAnsi="Times New Roman;serif"/>
          <w:b/>
          <w:color w:val="000000"/>
          <w:sz w:val="22"/>
        </w:rPr>
        <w:t>PRC</w:t>
      </w:r>
      <w:r>
        <w:rPr>
          <w:rFonts w:ascii="Times New Roman;serif" w:hAnsi="Times New Roman;serif"/>
          <w:b w:val="false"/>
          <w:color w:val="000000"/>
          <w:sz w:val="22"/>
        </w:rPr>
        <w:t>" or "</w:t>
      </w:r>
      <w:r>
        <w:rPr>
          <w:rFonts w:ascii="Times New Roman;serif" w:hAnsi="Times New Roman;serif"/>
          <w:b/>
          <w:color w:val="000000"/>
          <w:sz w:val="22"/>
        </w:rPr>
        <w:t>China</w:t>
      </w:r>
      <w:r>
        <w:rPr>
          <w:rFonts w:ascii="Times New Roman;serif" w:hAnsi="Times New Roman;serif"/>
          <w:b w:val="false"/>
          <w:color w:val="000000"/>
          <w:sz w:val="22"/>
        </w:rPr>
        <w:t>") including requirements imposed by the State Administration of Foreign Exchange ("</w:t>
      </w:r>
      <w:r>
        <w:rPr>
          <w:rFonts w:ascii="Times New Roman;serif" w:hAnsi="Times New Roman;serif"/>
          <w:b/>
          <w:color w:val="000000"/>
          <w:sz w:val="22"/>
        </w:rPr>
        <w:t>SAFE</w:t>
      </w:r>
      <w:r>
        <w:rPr>
          <w:rFonts w:ascii="Times New Roman;serif" w:hAnsi="Times New Roman;serif"/>
          <w:b w:val="false"/>
          <w:color w:val="000000"/>
          <w:sz w:val="22"/>
        </w:rPr>
        <w:t>") (each, a "</w:t>
      </w:r>
      <w:r>
        <w:rPr>
          <w:rFonts w:ascii="Times New Roman;serif" w:hAnsi="Times New Roman;serif"/>
          <w:b/>
          <w:color w:val="000000"/>
          <w:sz w:val="22"/>
        </w:rPr>
        <w:t>PRC Participant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Agreement or the Plan, due to local regulatory requirements, upon the vesting of the RSUs, a PRC Participant will receive a cash payment in China via the Company’s local Chinese payroll in an amount equal to the value of the shares of Common Stock underlying the vested RSUs on the vesting date, less any or all income tax, social insurance, payroll tax, payment on account or other Tax-Related Items.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unless and until all applicable PRC laws, regulations and regulatory requirements have been satisfied, a PRC Participant shall not receive, hold, or have any right to demand </w:t>
      </w:r>
    </w:p>
    <w:p>
      <w:pPr>
        <w:pStyle w:val="TextBody"/>
        <w:bidi w:val="0"/>
        <w:spacing w:before="0" w:after="24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delivery of shares of Common Stock in connection with the RSUs under the Plan, and any provisions in the Agreement or the Plan relating to the issuance, delivery or holding of shares of Common Stock shall not apply to such PRC Participant.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By accepting the grant of the RSUs, the Participant confirms having read and understood the Plan and the Agreement, which were provided in the English language. The Participant accepts the terms of those documents accordingly.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En acceptant cette attribution gratuite d’actions, le Participant confirme avoir lu et compris le Plan et ce Contrat, incluant tous leurs termes et conditions, qui ont été transmis en langue anglaise. Le Participant accepte les dispositions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Notification</w:t>
      </w:r>
      <w:r>
        <w:rPr>
          <w:rFonts w:ascii="Times New Roman;serif" w:hAnsi="Times New Roman;serif"/>
          <w:b w:val="false"/>
          <w:color w:val="000000"/>
          <w:sz w:val="22"/>
        </w:rPr>
        <w:t>. The RSUs are not intended to be French tax-qualified.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The Participant may hold shares of Common Stock acquired under the Plan outside of France provided that he or she declares all foreign accounts (including any accounts that were opened or closed during the tax year) on his or her annual French income tax return.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Parties to the Agreement</w:t>
      </w:r>
      <w:r>
        <w:rPr>
          <w:rFonts w:ascii="Times New Roman;serif" w:hAnsi="Times New Roman;serif"/>
          <w:b w:val="false"/>
          <w:color w:val="000000"/>
          <w:sz w:val="22"/>
        </w:rPr>
        <w:t>. The Agreement is exclusively concluded between Enviri Corporation and the Participant. The local Enviri Corporation entity employing the Participant is not in any way party to the Agreement or entitled/committed hereby.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Vesting of RSUs</w:t>
      </w:r>
      <w:r>
        <w:rPr>
          <w:rFonts w:ascii="Times New Roman;serif" w:hAnsi="Times New Roman;serif"/>
          <w:b w:val="false"/>
          <w:color w:val="000000"/>
          <w:sz w:val="22"/>
        </w:rPr>
        <w:t>. Notwithstanding anything to the contrary in the Agreement or in the Plan, the Participant will be deemed to have a “Disability” for the purposes of this Agreement, if the Participant’s employment contract ends as a consequence of the Participant being granted a permanent statutory pension for full occupational disability (unbefristete Rente wegen voller Erwerbsminderung) by the competent authorities.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Restrictive Covenants Agreement</w:t>
      </w:r>
      <w:r>
        <w:rPr>
          <w:rFonts w:ascii="Times New Roman;serif" w:hAnsi="Times New Roman;serif"/>
          <w:b w:val="false"/>
          <w:color w:val="000000"/>
          <w:sz w:val="22"/>
        </w:rPr>
        <w:t>. Notwithstanding anything to the contrary in the Restrictive Covenants Agreement, it is exclusively concluded between Enviri Corporation and the Participant. The employer of the Participant is not in any way party to the Restrictive Covenants Agreement or entitled/committed hereby. The Restrictive Covenants Agreement does not affect in any way a separate non-competition agreement concluded between the Participant and his/her employer.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hereby agrees that it shall hold the RSUs and subsequently, the shares of the Common Stock pursuant to this Agreement and the Plan, at all times in accordance with the applicable laws in India, including but not limited to the Foreign Exchange Management Act, 1999 (“FEMA”) and the Foreign Exchange Management (Overseas Investment) Rules, 2022 (“OI Rules”) (and as amended or replaced), relevant regulations, master circulars, directions, notifications, schemes issued in this regard by the Reserve Bank of India from time to time and shall assist the Company in carrying out the necessary reporting with the Reserve Bank of India at all stages of granting, vesting and issuance of shares of Common Stock, if and as may be required. The Participant agrees to indemnify the Company and/or subsidiary of the Company with respect to any non-compliance and/or non-adherence by the Participant of any of the applicable laws in India arising out of the holding of the shares of the Common Stock by the 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shall declare the holding of shares of the Common Stock, if and as may be necessary, in its income for taxation purposes and agrees to indemnify the Company and/or subsidiary of the Company with respect to any and all taxes that it shall be obligated to pay with respect to the shares of the Common Stock such as including but not limited to income tax, capital gain taxes etc., under this Agreement and which may arise as a result of the sale of the shares of the Common Stock and the transactions contemplated hereunder.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THE 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Restrictive Covenants Agreement</w:t>
      </w:r>
      <w:r>
        <w:rPr>
          <w:rFonts w:ascii="Times New Roman;serif" w:hAnsi="Times New Roman;serif"/>
          <w:b w:val="false"/>
          <w:color w:val="000000"/>
          <w:sz w:val="22"/>
        </w:rPr>
        <w:t>. The Restrictive Covenants Agreement entered into between the Company and the Participant shall be in addition to any non-compete arrangements between the Participant and his or her employer.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Cause</w:t>
      </w:r>
      <w:r>
        <w:rPr>
          <w:rFonts w:ascii="Times New Roman;serif" w:hAnsi="Times New Roman;serif"/>
          <w:b w:val="false"/>
          <w:color w:val="000000"/>
          <w:sz w:val="22"/>
        </w:rPr>
        <w:t>. The following provision supplements this Agreement and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respect to Participants who are employed by or provide services to an Affiliate of the Company in the Netherlands, the definition of “Cause” set forth in the Plan or applicable Award Agreement shall include, in addition to the circumstances described therein, any act or omission that constitutes an urgent cause (dringende reden) or (serious) culpable conduct ((ernstig) verwijtbaar handelen) within the meaning of the Dutch Civil Code.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Indemnity</w:t>
      </w:r>
      <w:r>
        <w:rPr>
          <w:rFonts w:ascii="Times New Roman;serif" w:hAnsi="Times New Roman;serif"/>
          <w:b w:val="false"/>
          <w:color w:val="000000"/>
          <w:sz w:val="22"/>
        </w:rPr>
        <w:t>. The Participant hereby indemnifies the Company and/or subsidiary of the Company, to the extent legally permitted and to the extent not otherwise recovered from the Participant, against any and all tax liability and social security premiums interest, surcharges, and penalties arising from or in connection with the grant, vesting, settlement, or sale of RSUs under this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following provisions supplement the </w:t>
      </w:r>
      <w:r>
        <w:rPr>
          <w:rFonts w:ascii="Times New Roman;serif" w:hAnsi="Times New Roman;serif"/>
          <w:b/>
          <w:color w:val="000000"/>
          <w:sz w:val="22"/>
        </w:rPr>
        <w:t>Responsibility for Taxes</w:t>
      </w:r>
      <w:r>
        <w:rPr>
          <w:color w:val="000000"/>
        </w:rPr>
        <w:t xml:space="preserve"> </w:t>
      </w:r>
      <w:r>
        <w:rPr>
          <w:rFonts w:ascii="Times New Roman;serif" w:hAnsi="Times New Roman;serif"/>
          <w:b w:val="false"/>
          <w:color w:val="000000"/>
          <w:sz w:val="22"/>
        </w:rPr>
        <w:t>section of the Agreement for Directors or Consultants who perform services under a services agreement or management agreement: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Risk of Reclassification</w:t>
      </w:r>
      <w:r>
        <w:rPr>
          <w:rFonts w:ascii="Times New Roman;serif" w:hAnsi="Times New Roman;serif"/>
          <w:b w:val="false"/>
          <w:color w:val="000000"/>
          <w:sz w:val="22"/>
        </w:rPr>
        <w:t xml:space="preserve">. The Participant acknowledges that the Dutch tax authorities (Belastingdienst) actively enforce rules regarding the misclassification of independent contractors as employees (schijnzelfstandigheid). If the Dutch tax authorities determine that the Participant's working relationship with the employer qualifies as an employment relationship (dienstbetrekking) within the meaning of the Dutch Wage Tax Act 1964 (Wet op de loonbelasting 1964), whether deemed (fictieve dienstbetrekking) or otherwise, the Employer may be required to withhold and remit wage tax and social insurance </w:t>
      </w: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contributions on the RSU benefits and may be subject to additional tax assessments, penalties and interest. In such event, the Participant agrees to cooperate with the employer and to reimburse the employer for any wage tax, social insurance contributions, penalties, interest or other costs incurred by the employer as a direct result of such reclassification to the extent attributable to the Participant's RSU benefits, without prejudice to any other rights the employer may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a reclassification as referred to above, the Participant authorises the employer to satisfy any resulting withholding obligations by any of the methods described in the withholding provisions applicable to employee Participants, including by way of sell-to-cover, or cash payment by the 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agrees to: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if so required by the Company, enter into an election in a form approved by the Company in accordance with section 431 of the Income Tax (Earnings and Pensions) Act 2003 (restricted securities election) in respect of any Common Stock received by the Participant pursuant to the RSUs;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indemnify the Company, their employer and any other person in respect of any amounts in respect of income tax, employee's National Insurance contributions and, if so determined by the Company to the extent permitted by law, employer's National Insurance contributions for which the Company, their employer or any other person is obliged to account under the Pay-As-You-Earn system arising in respect of the RSUs.</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10.8</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UNITS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 TIME-BASED VESTING)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RESTRICTED STOCK UNITS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as of [●] (the “</w:t>
      </w:r>
      <w:r>
        <w:rPr>
          <w:rFonts w:ascii="Times New Roman;serif" w:hAnsi="Times New Roman;serif"/>
          <w:b/>
          <w:color w:val="000000"/>
          <w:sz w:val="22"/>
        </w:rPr>
        <w:t>Date of Grant</w:t>
      </w:r>
      <w:r>
        <w:rPr>
          <w:color w:val="000000"/>
        </w:rPr>
        <w:t>”</w:t>
      </w:r>
      <w:r>
        <w:rPr>
          <w:rFonts w:ascii="Times New Roman;serif" w:hAnsi="Times New Roman;serif"/>
          <w:b w:val="false"/>
          <w:color w:val="000000"/>
          <w:sz w:val="22"/>
        </w:rPr>
        <w:t>), by and between Enviri Corporation, a Delaware corporation, and [PARTICIPANT NAME]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Capitalized terms used, but not otherwise defined, in this Agreement will have the meanings given to such terms in the Company’s 2026 Omnibus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Grant of RSUs</w:t>
      </w:r>
      <w:r>
        <w:rPr>
          <w:rFonts w:ascii="Times New Roman;serif" w:hAnsi="Times New Roman;serif"/>
          <w:b w:val="false"/>
          <w:color w:val="000000"/>
          <w:sz w:val="22"/>
        </w:rPr>
        <w:t xml:space="preserve">. Subject to and upon the terms, conditions and restrictions set forth in this Agreement, including, without limitation,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and subject to any state-specific modifications set forth on </w:t>
      </w:r>
      <w:r>
        <w:rPr>
          <w:rFonts w:ascii="Times New Roman;serif" w:hAnsi="Times New Roman;serif"/>
          <w:b w:val="false"/>
          <w:color w:val="000000"/>
          <w:sz w:val="22"/>
          <w:u w:val="single"/>
        </w:rPr>
        <w:t>Exhibit A-1</w:t>
      </w:r>
      <w:r>
        <w:rPr>
          <w:color w:val="000000"/>
        </w:rPr>
        <w:t xml:space="preserve"> </w:t>
      </w:r>
      <w:r>
        <w:rPr>
          <w:rFonts w:ascii="Times New Roman;serif" w:hAnsi="Times New Roman;serif"/>
          <w:b w:val="false"/>
          <w:color w:val="000000"/>
          <w:sz w:val="22"/>
        </w:rPr>
        <w:t>attached hereto (the “</w:t>
      </w:r>
      <w:r>
        <w:rPr>
          <w:rFonts w:ascii="Times New Roman;serif" w:hAnsi="Times New Roman;serif"/>
          <w:b/>
          <w:color w:val="000000"/>
          <w:sz w:val="22"/>
        </w:rPr>
        <w:t>Restrictive Covenants Agreement</w:t>
      </w:r>
      <w:r>
        <w:rPr>
          <w:color w:val="000000"/>
        </w:rPr>
        <w:t>”</w:t>
      </w:r>
      <w:r>
        <w:rPr>
          <w:rFonts w:ascii="Times New Roman;serif" w:hAnsi="Times New Roman;serif"/>
          <w:b w:val="false"/>
          <w:color w:val="000000"/>
          <w:sz w:val="22"/>
        </w:rPr>
        <w:t>) and in the Plan, the Company grants to the Participant, as of the Date of Grant, [NUMBER] Restricted Stock Units (“</w:t>
      </w:r>
      <w:r>
        <w:rPr>
          <w:rFonts w:ascii="Times New Roman;serif" w:hAnsi="Times New Roman;serif"/>
          <w:b/>
          <w:color w:val="000000"/>
          <w:sz w:val="22"/>
        </w:rPr>
        <w:t>RSUs</w:t>
      </w:r>
      <w:r>
        <w:rPr>
          <w:color w:val="000000"/>
        </w:rPr>
        <w:t>”</w:t>
      </w:r>
      <w:r>
        <w:rPr>
          <w:rFonts w:ascii="Times New Roman;serif" w:hAnsi="Times New Roman;serif"/>
          <w:b w:val="false"/>
          <w:color w:val="000000"/>
          <w:sz w:val="22"/>
        </w:rPr>
        <w:t xml:space="preserve">). Each RSU shall represent the right of the Participant to receive one share of Common Stock subject to and upon the terms and conditions of this Agreement. Notwithstanding anything in this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or otherwise in this Agreement to the contrary, the Participant acknowledges and agrees to be bound by the restrictive covenant terms, conditions and provisions in the Restrictive Covenants Agreement as a “Participant” as referred to therein.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Restrictions on Transfer of RSUs</w:t>
      </w:r>
      <w:r>
        <w:rPr>
          <w:rFonts w:ascii="Times New Roman;serif" w:hAnsi="Times New Roman;serif"/>
          <w:b w:val="false"/>
          <w:color w:val="000000"/>
          <w:sz w:val="22"/>
        </w:rPr>
        <w:t xml:space="preserve">. Neither the RSUs granted hereby nor any interest therein or in the Common Stock related thereto shall be transferable prior to payment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other than by will or pursuant to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Vesting of RSUs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RSUs covered by this Agreement shall vest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if the Participant remains in Continuous Service through the applicable vesting date below (each, a “</w:t>
      </w:r>
      <w:r>
        <w:rPr>
          <w:rFonts w:ascii="Times New Roman;serif" w:hAnsi="Times New Roman;serif"/>
          <w:b/>
          <w:color w:val="000000"/>
          <w:sz w:val="22"/>
        </w:rPr>
        <w:t>Vesting Date</w:t>
      </w:r>
      <w:r>
        <w:rPr>
          <w:color w:val="000000"/>
        </w:rPr>
        <w:t>”</w:t>
      </w:r>
      <w:r>
        <w:rPr>
          <w:rFonts w:ascii="Times New Roman;serif" w:hAnsi="Times New Roman;serif"/>
          <w:b w:val="false"/>
          <w:color w:val="000000"/>
          <w:sz w:val="22"/>
        </w:rPr>
        <w:t>):</w:t>
      </w:r>
    </w:p>
    <w:p>
      <w:pPr>
        <w:pStyle w:val="TextBody"/>
        <w:bidi w:val="0"/>
        <w:spacing w:before="0" w:after="0"/>
        <w:jc w:val="both"/>
        <w:rPr/>
      </w:pPr>
      <w:r>
        <w:rPr/>
      </w:r>
    </w:p>
    <w:tbl>
      <w:tblPr>
        <w:tblW w:w="7723" w:type="dxa"/>
        <w:jc w:val="left"/>
        <w:tblInd w:w="0" w:type="dxa"/>
        <w:tblLayout w:type="fixed"/>
        <w:tblCellMar>
          <w:top w:w="28" w:type="dxa"/>
          <w:left w:w="28" w:type="dxa"/>
          <w:bottom w:w="28" w:type="dxa"/>
          <w:right w:w="28" w:type="dxa"/>
        </w:tblCellMar>
      </w:tblPr>
      <w:tblGrid>
        <w:gridCol w:w="629"/>
        <w:gridCol w:w="553"/>
        <w:gridCol w:w="557"/>
        <w:gridCol w:w="949"/>
        <w:gridCol w:w="949"/>
        <w:gridCol w:w="951"/>
        <w:gridCol w:w="916"/>
        <w:gridCol w:w="916"/>
        <w:gridCol w:w="130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Vesting Tranche</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Percentage of RSUs Vesting</w:t>
            </w:r>
          </w:p>
        </w:tc>
        <w:tc>
          <w:tcPr>
            <w:tcW w:w="31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Vesting Date</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6171F"/>
                <w:sz w:val="22"/>
              </w:rPr>
            </w:pPr>
            <w:r>
              <w:rPr>
                <w:rFonts w:ascii="Times New Roman;serif" w:hAnsi="Times New Roman;serif"/>
                <w:b w:val="false"/>
                <w:color w:val="06171F"/>
                <w:sz w:val="22"/>
              </w:rPr>
              <w:t>First Tranche</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33.3%</w:t>
            </w:r>
          </w:p>
        </w:tc>
        <w:tc>
          <w:tcPr>
            <w:tcW w:w="31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One Year from Date of Grant</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6171F"/>
                <w:sz w:val="22"/>
              </w:rPr>
            </w:pPr>
            <w:r>
              <w:rPr>
                <w:rFonts w:ascii="Times New Roman;serif" w:hAnsi="Times New Roman;serif"/>
                <w:b w:val="false"/>
                <w:color w:val="06171F"/>
                <w:sz w:val="22"/>
              </w:rPr>
              <w:t>Second Tranche</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33.3%</w:t>
            </w:r>
          </w:p>
        </w:tc>
        <w:tc>
          <w:tcPr>
            <w:tcW w:w="31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Two Years from Date of Grant</w:t>
            </w:r>
          </w:p>
        </w:tc>
      </w:tr>
      <w:tr>
        <w:trPr/>
        <w:tc>
          <w:tcPr>
            <w:tcW w:w="17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6171F"/>
                <w:sz w:val="22"/>
              </w:rPr>
            </w:pPr>
            <w:r>
              <w:rPr>
                <w:rFonts w:ascii="Times New Roman;serif" w:hAnsi="Times New Roman;serif"/>
                <w:b w:val="false"/>
                <w:color w:val="06171F"/>
                <w:sz w:val="22"/>
              </w:rPr>
              <w:t>Third Tranche</w:t>
            </w:r>
          </w:p>
        </w:tc>
        <w:tc>
          <w:tcPr>
            <w:tcW w:w="28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33.3%</w:t>
            </w:r>
          </w:p>
        </w:tc>
        <w:tc>
          <w:tcPr>
            <w:tcW w:w="31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Three Years from Date of Grant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Any RSUs that do not so become nonforfeitable on a Vesting Date will be forfeited, including, except as provided in </w:t>
      </w:r>
      <w:r>
        <w:rPr>
          <w:rFonts w:ascii="Times New Roman;serif" w:hAnsi="Times New Roman;serif"/>
          <w:b w:val="false"/>
          <w:color w:val="000000"/>
          <w:sz w:val="22"/>
          <w:u w:val="single"/>
        </w:rPr>
        <w:t>Section 4(b)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below, if the Participant’s Continuous Service ceases prior to a Vesting Date.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above, all of the RSUs shall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upon the Participant’s death or Disability during the Participant’s Continuous Service at a time when the RSUs have not been forfeited (to the extent the RSUs have not previously become nonforfeitable).</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(c)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above, if the Participant voluntarily terminates his Continuous Service (A) after March 31, 2027, but prior to the first anniversary of the Date of Grant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RSUs have not previously been forfeited or become nonforfeitable at such time), then a </w:t>
      </w:r>
    </w:p>
    <w:p>
      <w:pPr>
        <w:pStyle w:val="TextBody"/>
        <w:bidi w:val="0"/>
        <w:spacing w:before="0" w:after="24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prorated portion of the RSUs (rounded to the nearest whole number)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date of such termination, with such prorated portion determined by multiplying 100% of the RSUs by a fraction, the numerator of which is the number of full calendar months during which the Participant provided Continuous Service to the Company or its predecessor since December 1, 2025, and the denominator of which is 42; (B) after the first Vesting Date, but prior to the second anniversary of the Date of Grant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RSUs have not previously been forfeited or become nonforfeitable at such time), then a prorated portion of the RSUs (rounded to the nearest whole number)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date of such termination, with such prorated portion determined by multiplying 100% of the RSUs by a fraction, the numerator of which is the number of full calendar months during which the Participant provided Continuous Service to the Company since December 1, 2025, and the denominator of which is 42 less the RSUs that would have vested and been payable at the first anniversary date of the Date of Grant; or (C) after the second Vesting Date, but prior to the third anniversary of the Date of Grant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RSUs have not previously been forfeited or become nonforfeitable at such time), then a prorated portion of the RSUs (rounded to the nearest whole number)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date of such termination, with such prorated portion determined by multiplying 100% of the RSUs by a fraction, the numerator of which is the number of full calendar months during which the Participant provided Continuous Service to the Company since December 1, 2025, and the denominator of which is 42 less the RSUs that would have vested and been payable at the first anniversary date of the Grant Date plus the second anniversary date of the Date of Grant.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above, </w:t>
      </w:r>
    </w:p>
    <w:p>
      <w:pPr>
        <w:pStyle w:val="TextBody"/>
        <w:bidi w:val="0"/>
        <w:spacing w:before="0" w:after="24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    if (A) this award is not continued, assumed, substituted, or replaced in accordance with Section 15.1 of the Plan or, (B) following the Change in Control, the Participant will not continue to hold, or otherwise receive, an award that relates to cash or publicly traded equity securities of the Company or its successor or an Affiliate (a “</w:t>
      </w:r>
      <w:r>
        <w:rPr>
          <w:rFonts w:ascii="Times New Roman;serif" w:hAnsi="Times New Roman;serif"/>
          <w:b/>
          <w:color w:val="000000"/>
          <w:sz w:val="22"/>
        </w:rPr>
        <w:t>Replacement Award</w:t>
      </w:r>
      <w:r>
        <w:rPr>
          <w:color w:val="000000"/>
        </w:rPr>
        <w:t>”</w:t>
      </w:r>
      <w:r>
        <w:rPr>
          <w:rFonts w:ascii="Times New Roman;serif" w:hAnsi="Times New Roman;serif"/>
          <w:b w:val="false"/>
          <w:color w:val="000000"/>
          <w:sz w:val="22"/>
        </w:rPr>
        <w:t xml:space="preserve">), the RSU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immediately prior to the consummation of the Change in Control contingent upon the Participant remaining in Continuous Service through the consummation of the Change in Control; and</w:t>
      </w:r>
    </w:p>
    <w:p>
      <w:pPr>
        <w:pStyle w:val="TextBody"/>
        <w:bidi w:val="0"/>
        <w:spacing w:before="0" w:after="240"/>
        <w:jc w:val="left"/>
        <w:rPr/>
      </w:pPr>
      <w:r>
        <w:rPr/>
      </w:r>
    </w:p>
    <w:p>
      <w:pPr>
        <w:pStyle w:val="TextBody"/>
        <w:bidi w:val="0"/>
        <w:spacing w:lineRule="auto" w:line="288"/>
        <w:ind w:left="0" w:right="0" w:firstLine="2160"/>
        <w:jc w:val="both"/>
        <w:rPr/>
      </w:pPr>
      <w:r>
        <w:rPr>
          <w:rFonts w:ascii="Times New Roman;serif" w:hAnsi="Times New Roman;serif"/>
          <w:b w:val="false"/>
          <w:color w:val="000000"/>
          <w:sz w:val="22"/>
        </w:rPr>
        <w:t xml:space="preserve">(ii)    if (A) this award is continued, assumed, substituted, or replaced in accordance with Section 15.1 of the Plan and, (B) following the Change in Control, the Participant will continue to hold or receive a Replacement Award, the Replacement Award will vest and become nonforfeitable in accordance with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and payable to the Participant in accordance with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prior to the final Vesting Date, the Participant’s Continuous Service is terminated by the Company or its successor without Cause or by the Participant for Good Reason (as defined below), in either case, within the two-year period following the date of the Change in Control, the Replacement Award will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date of such termination. For purposes of this Agreement, “</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 xml:space="preserve">shall have the meaning set forth in the Company’s Executive Severance Plan (if the Participant is also a participant in the Company’s Executive Severance Plan) or otherwise means Participant’s termination of his Continuous Service as a result of the occurrence of any of the following: (I) a change in the Participant’s principal location of employment that is greater than 50 miles from such location as of the date of this Agreement without the Participant’s consent (provided, however, that the Participant hereby acknowledges that the Participant may be required to engage in travel in connection with the performance of the Participant’s duties and that such travel shall not constitute a change in the Participant’s principal location of employment for purposes hereof); (II) a material diminution in the Participant’s base compensation; (III) a </w:t>
      </w:r>
    </w:p>
    <w:p>
      <w:pPr>
        <w:pStyle w:val="TextBody"/>
        <w:bidi w:val="0"/>
        <w:spacing w:before="0" w:after="24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change in the Participant’s position with the Company or its successor or applicable subsidiary thereof without the Participant’s consent such that there is a material diminution in the Participant’s authority, duties or responsibilities; or (IV) any other action or inaction that constitutes a material breach by the Company or its successor or the applicable subsidiary thereof of the agreement, if any, under which the Participant provides services to the Company or its successor or the applicable subsidiary thereof. Notwithstanding the foregoing, the Participant’s termination of Continuous Service as a result of the occurrence of any of the foregoing shall not constitute “Good Reason” unless (X) the Participant gives the Company or its successor written notice of such occurrence within 90 days of such occurrence and such occurrence is not cured by the Company or its successor within 30 days of the date on which such written notice is received by the Company or its successor and (Y) the Participant actually terminates his Continuous Service with the Company or its successor prior to the 365th day following such occurrence.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Form and Time of Payment of RSUs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Payment for the RSUs, after and to the extent they have become nonforfeitable, shall be made in the form of shares of Common Stock (or cash, in the case of a cash-settled Replacement Award). Except as provided in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5(c)</w:t>
      </w:r>
      <w:r>
        <w:rPr>
          <w:rFonts w:ascii="Times New Roman;serif" w:hAnsi="Times New Roman;serif"/>
          <w:b w:val="false"/>
          <w:color w:val="000000"/>
          <w:sz w:val="22"/>
        </w:rPr>
        <w:t xml:space="preserve">, payment shall be made within 10 days following the date that the RSUs become nonforfeitable pursuant to </w:t>
      </w:r>
      <w:r>
        <w:rPr>
          <w:rFonts w:ascii="Times New Roman;serif" w:hAnsi="Times New Roman;serif"/>
          <w:b w:val="false"/>
          <w:color w:val="000000"/>
          <w:sz w:val="22"/>
          <w:u w:val="single"/>
        </w:rPr>
        <w:t>Section 4</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If the Participant is deemed by the Company at the time of the Participant’s “separation from service” (as such term is defined in Treasury Regulations Section 1.409A-1(h) without regard to any alternative definition thereunder) with the Company to be a “specified employee” for purposes of Section 409A(a)(2)(B)(i) of the Code, and if any of the payments upon such separation from service set forth herein are deemed to be “deferred compensation” within the meaning of Section 409A of the Code, then to the extent delayed commencement of any portion of such payments is required to avoid a prohibited distribution under Section 409A(a)(2)(B)(i) of the Code and the related adverse taxation under Section 409A of the Code, such payments will not be provided to the Participant prior to the earliest of (i) the date that is six months and one day after the date of such separation from service, (ii) the date of the Participant’s death, or (iii) such earlier date as permitted under Section 409A of the Code without the</w:t>
      </w:r>
      <w:r>
        <w:rPr>
          <w:color w:val="000000"/>
        </w:rPr>
        <w:t xml:space="preserve"> </w:t>
      </w:r>
      <w:r>
        <w:rPr>
          <w:rFonts w:ascii="Times New Roman;serif" w:hAnsi="Times New Roman;serif"/>
          <w:b w:val="false"/>
          <w:color w:val="000000"/>
          <w:sz w:val="22"/>
        </w:rPr>
        <w:t xml:space="preserve">imposition of adverse taxation. Upon the first business day following the expiration of such period, all payments deferred pursuant to this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will be paid in a lump sum to the Participant, and any remaining payments due will be paid as otherwise provided herein.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Company’s obligations to the Participant with respect to the RSUs will be satisfied in full upon the issuance of Common Stock corresponding to such RSUs.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Voting and Other Rights; Dividend Equivalents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Participant shall have no rights of ownership in the Common Stock underlying the RSUs and no right to vote the Common Stock underlying the RSUs until the date on which the shares of Common Stock underlying the RSUs are issued or transferred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From and after the Date of Grant and until the earlier of (i) the time when the RSUs become nonforfeitable and are paid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or (ii) the time when the Participant’s right to receive Common Stock in payment of the RSUs is forfeited in accordance with </w:t>
      </w:r>
      <w:r>
        <w:rPr>
          <w:rFonts w:ascii="Times New Roman;serif" w:hAnsi="Times New Roman;serif"/>
          <w:b w:val="false"/>
          <w:color w:val="000000"/>
          <w:sz w:val="22"/>
          <w:u w:val="single"/>
        </w:rPr>
        <w:t>Section 4</w:t>
      </w:r>
      <w:r>
        <w:rPr>
          <w:rFonts w:ascii="Times New Roman;serif" w:hAnsi="Times New Roman;serif"/>
          <w:b w:val="false"/>
          <w:color w:val="000000"/>
          <w:sz w:val="22"/>
        </w:rPr>
        <w:t xml:space="preserve">, on the date that the Company pays a cash dividend (if any) to holders of Common Stock generally, the Participant shall become entitled to receive (subject to the following sentence) a number of additional whole RSUs determined by dividing (x) the product of (1) the dollar amount of the cash dividend paid per share of Common Stock on such date and (2) the total number of RSUs (including dividend equivalents) previously </w:t>
      </w:r>
    </w:p>
    <w:p>
      <w:pPr>
        <w:pStyle w:val="TextBody"/>
        <w:bidi w:val="0"/>
        <w:spacing w:before="0" w:after="24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credited to the Participant as of such date, by (y) the Fair Market Value on such date. Such dividend equivalents (if any) shall be subject to the same terms and conditions and shall be paid or forfeited in the same manner and at the same time as the RSUs to which the dividend equivalents were credited.</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obligations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Adjustments</w:t>
      </w:r>
      <w:r>
        <w:rPr>
          <w:rFonts w:ascii="Times New Roman;serif" w:hAnsi="Times New Roman;serif"/>
          <w:b w:val="false"/>
          <w:color w:val="000000"/>
          <w:sz w:val="22"/>
        </w:rPr>
        <w:t>. The RSUs and their terms under this Agreement are subject to mandatory adjustment under the terms of Section 14 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Compliance With Applicable Laws</w:t>
      </w:r>
      <w:r>
        <w:rPr>
          <w:rFonts w:ascii="Times New Roman;serif" w:hAnsi="Times New Roman;serif"/>
          <w:b w:val="false"/>
          <w:color w:val="000000"/>
          <w:sz w:val="22"/>
        </w:rPr>
        <w:t>. The Company shall make reasonable efforts to comply with all Applicable Laws; provided, however, that notwithstanding any other provision of the Plan and this Agreement, the Company shall not be obligated to issue any Common Stock pursuant to this Agreement if the issuance thereof would result in a violation of any Applicable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Withholding Obligations</w:t>
      </w:r>
      <w:r>
        <w:rPr>
          <w:rFonts w:ascii="Times New Roman;serif" w:hAnsi="Times New Roman;serif"/>
          <w:b w:val="false"/>
          <w:color w:val="000000"/>
          <w:sz w:val="22"/>
        </w:rPr>
        <w:t>. The Company and its Affiliates may withhold from any payment of cash or distribution of shares of Common Stock or other property to the Participant under this Agreement an amount or number of shares sufficient to cover any required tax withholding with respect to such payment, including up to the maximum allowable withholding, or may take such other action as the Company deems necessary to satisfy any income or other tax withholding requirements arising as a result of the grant or settlement of the RSUs. The Company and its Affiliates may, as a condition to any payment pursuant to this Agreement, require the payment of any such taxes and require that the Participant furnish any information necessary to meet any applicable tax reporting obligation.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Any reference in this Agreement to Section 409A of the Code will also include any proposed, temporary or final regulations, or any other guidance, promulgated with respect to such Section by the U.S. Department of the Treasury or the Internal Revenue Service. Except as expressly provided in this Agreement, capitalized terms used herein will have the meaning ascribed to such terms in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No Employment Rights</w:t>
      </w:r>
      <w:r>
        <w:rPr>
          <w:rFonts w:ascii="Times New Roman;serif" w:hAnsi="Times New Roman;serif"/>
          <w:b w:val="false"/>
          <w:color w:val="000000"/>
          <w:sz w:val="22"/>
        </w:rPr>
        <w:t>. The grant of the RSUs under this Agreement to the Participant is a 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be employed or remain employed by the Company or any of its Subsidiaries, nor limit or affect in any manner the right of the Company or any of its Subsidiaries to terminate the employment or adjust the compensation of the Participant.</w:t>
      </w:r>
    </w:p>
    <w:p>
      <w:pPr>
        <w:pStyle w:val="TextBody"/>
        <w:bidi w:val="0"/>
        <w:jc w:val="both"/>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Relation to Other Benefits</w:t>
      </w:r>
      <w:r>
        <w:rPr>
          <w:rFonts w:ascii="Times New Roman;serif" w:hAnsi="Times New Roman;serif"/>
          <w:b w:val="false"/>
          <w:color w:val="000000"/>
          <w:sz w:val="22"/>
        </w:rPr>
        <w:t>. Any economic or other benefit to the Participant under this Agreement or the Plan shall not be taken into account in determining any benefits to which the Participant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Amendments</w:t>
      </w:r>
      <w:r>
        <w:rPr>
          <w:rFonts w:ascii="Times New Roman;serif" w:hAnsi="Times New Roman;serif"/>
          <w:b w:val="false"/>
          <w:color w:val="000000"/>
          <w:sz w:val="22"/>
        </w:rPr>
        <w:t>. Any amendment to the Plan shall be deemed to be an amendment to this Agreement to the extent that the amendment is applicable hereto; provided, however, that no amendment shall materially impair the rights of the Participant under this Agreement without the Participant’s written consent.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Relation to Plan</w:t>
      </w:r>
      <w:r>
        <w:rPr>
          <w:rFonts w:ascii="Times New Roman;serif" w:hAnsi="Times New Roman;serif"/>
          <w:b w:val="false"/>
          <w:color w:val="000000"/>
          <w:sz w:val="22"/>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In addition, the RSUs shall be subject to the terms and conditions of the Company’s Incentive Compensation Recoupment Policy in effect on the Date of Grant as if such RSUs were “Incentive-Based Compensation” (as such term is defined in such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rFonts w:ascii="Times New Roman;serif" w:hAnsi="Times New Roman;serif"/>
          <w:b w:val="false"/>
          <w:color w:val="000000"/>
          <w:sz w:val="22"/>
        </w:rPr>
        <w:t>, the provisions of this Agreement shall inure to the benefit of, and be binding upon, the successors, administrators, heirs, legal representatives and assigns of the Participant, and the successors and assigns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Except as provided in </w:t>
      </w:r>
      <w:r>
        <w:rPr>
          <w:rFonts w:ascii="Times New Roman;serif" w:hAnsi="Times New Roman;serif"/>
          <w:b w:val="false"/>
          <w:color w:val="000000"/>
          <w:sz w:val="22"/>
          <w:u w:val="single"/>
        </w:rPr>
        <w:t>Exhibits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A-1</w:t>
      </w:r>
      <w:r>
        <w:rPr>
          <w:rFonts w:ascii="Times New Roman;serif" w:hAnsi="Times New Roman;serif"/>
          <w:b w:val="false"/>
          <w:color w:val="000000"/>
          <w:sz w:val="22"/>
        </w:rPr>
        <w:t>, this Agreement will be construed under the laws of the State of Delaware, without regard to its conflict of law provisions, and the parties consent and agree that the federal and state courts located in the State of Delaware will have exclusive jurisdiction over any dispute relating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Acknowledgement</w:t>
      </w:r>
      <w:r>
        <w:rPr>
          <w:rFonts w:ascii="Times New Roman;serif" w:hAnsi="Times New Roman;serif"/>
          <w:b w:val="false"/>
          <w:color w:val="000000"/>
          <w:sz w:val="22"/>
        </w:rPr>
        <w:t>. The Participant acknowledges that the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will constitute one and the same agreement.</w:t>
      </w:r>
    </w:p>
    <w:p>
      <w:pPr>
        <w:pStyle w:val="TextBody"/>
        <w:bidi w:val="0"/>
        <w:spacing w:before="0" w:after="240"/>
        <w:jc w:val="left"/>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24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Agreement to be executed on its behalf by its duly authorized officer and the Participant has executed this Agreement, effective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undersigned hereby acknowledges receipt of an executed version of this Agreement and accepts the award of RSUs granted hereunder on the terms and conditions set forth herein and in the Plan (including the terms of the Restrictive Covenants Agreement, attached hereto as </w:t>
      </w:r>
      <w:r>
        <w:rPr>
          <w:rFonts w:ascii="Times New Roman;serif" w:hAnsi="Times New Roman;serif"/>
          <w:b w:val="false"/>
          <w:color w:val="000000"/>
          <w:sz w:val="22"/>
          <w:u w:val="single"/>
        </w:rPr>
        <w:t>Exhibits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A-1</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24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RESTRICTIVE COVENANTS AGREEMENT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Grant</w:t>
      </w:r>
      <w:r>
        <w:rPr>
          <w:rFonts w:ascii="Times New Roman;serif" w:hAnsi="Times New Roman;serif"/>
          <w:b w:val="false"/>
          <w:color w:val="000000"/>
          <w:sz w:val="22"/>
        </w:rPr>
        <w:t>. Participant acknowledges that Participant has access to the confidential and proprietary trade secret information of Enviri Corporation, including its subsidiaries, joint ventures, and operating divisions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as further described below (“</w:t>
      </w:r>
      <w:r>
        <w:rPr>
          <w:rFonts w:ascii="Times New Roman;serif" w:hAnsi="Times New Roman;serif"/>
          <w:b/>
          <w:color w:val="000000"/>
          <w:sz w:val="22"/>
        </w:rPr>
        <w:t>Confidential/Proprietary Trade Secret Information</w:t>
      </w:r>
      <w:r>
        <w:rPr>
          <w:color w:val="000000"/>
        </w:rPr>
        <w:t>”</w:t>
      </w:r>
      <w:r>
        <w:rPr>
          <w:rFonts w:ascii="Times New Roman;serif" w:hAnsi="Times New Roman;serif"/>
          <w:b w:val="false"/>
          <w:color w:val="000000"/>
          <w:sz w:val="22"/>
        </w:rPr>
        <w:t>). Further, Participant acknowledges that Participant derives significant value from the Company and from the Confidential/Proprietary Trade Secret Information provided during the term of employment with the Company, which enables Participant to optimize the performance of the Company’s performance and Participant’s own personal, professional, and financial benefit. In consideration of the grant described in the award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to which these terms, conditions and provisions (the “</w:t>
      </w:r>
      <w:r>
        <w:rPr>
          <w:rFonts w:ascii="Times New Roman;serif" w:hAnsi="Times New Roman;serif"/>
          <w:b/>
          <w:color w:val="000000"/>
          <w:sz w:val="22"/>
        </w:rPr>
        <w:t>Restrictive Covenants Agreement</w:t>
      </w:r>
      <w:r>
        <w:rPr>
          <w:color w:val="000000"/>
        </w:rPr>
        <w:t>”</w:t>
      </w:r>
      <w:r>
        <w:rPr>
          <w:rFonts w:ascii="Times New Roman;serif" w:hAnsi="Times New Roman;serif"/>
          <w:b w:val="false"/>
          <w:color w:val="000000"/>
          <w:sz w:val="22"/>
        </w:rPr>
        <w:t xml:space="preserve">) are attached as an exhibit, Participant agrees to the terms of this Restrictive Covenants Agreement.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2.    Except as provided in the State-Specific Modifications in Exhibit A-1, during Participant’s employment by the Company, and for a period of twelve (12) months after the cessation of such employment for any reason (both such periods collectively referred to as the “</w:t>
      </w:r>
      <w:r>
        <w:rPr>
          <w:rFonts w:ascii="Times New Roman;serif" w:hAnsi="Times New Roman;serif"/>
          <w:b/>
          <w:color w:val="000000"/>
          <w:sz w:val="22"/>
        </w:rPr>
        <w:t>Restricted Period</w:t>
      </w:r>
      <w:r>
        <w:rPr>
          <w:color w:val="000000"/>
        </w:rPr>
        <w:t>”</w:t>
      </w:r>
      <w:r>
        <w:rPr>
          <w:rFonts w:ascii="Times New Roman;serif" w:hAnsi="Times New Roman;serif"/>
          <w:b w:val="false"/>
          <w:color w:val="000000"/>
          <w:sz w:val="22"/>
        </w:rPr>
        <w:t>), Participant will not, directly or indirectly, engage in any of the following competitive activities: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For Participant or on behalf of any other corporation, business, partnership, limited liability company, unincorporated association, enterprise, or other entity, directly or indirectly solicit, divert, contract with, or attempt to solicit, divert, or contract with,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w:t>
      </w:r>
      <w:r>
        <w:rPr>
          <w:rFonts w:ascii="Times New Roman;serif" w:hAnsi="Times New Roman;serif"/>
          <w:b/>
          <w:color w:val="000000"/>
          <w:sz w:val="22"/>
        </w:rPr>
        <w:t>Material Contact</w:t>
      </w:r>
      <w:r>
        <w:rPr>
          <w:color w:val="000000"/>
        </w:rPr>
        <w:t xml:space="preserve">” </w:t>
      </w:r>
      <w:r>
        <w:rPr>
          <w:rFonts w:ascii="Times New Roman;serif" w:hAnsi="Times New Roman;serif"/>
          <w:b w:val="false"/>
          <w:color w:val="000000"/>
          <w:sz w:val="22"/>
        </w:rPr>
        <w:t>with a customer if: (i) Participant had business dealings with the customer on the Company’s behalf; (ii) Participant was responsible for supervising or coordinating the dealings between the Company and the customer; or (iii) Participant obtained Confidential/Proprietary</w:t>
      </w:r>
      <w:r>
        <w:rPr>
          <w:color w:val="000000"/>
        </w:rPr>
        <w:t xml:space="preserve"> </w:t>
      </w:r>
      <w:r>
        <w:rPr>
          <w:rFonts w:ascii="Times New Roman;serif" w:hAnsi="Times New Roman;serif"/>
          <w:b w:val="false"/>
          <w:color w:val="000000"/>
          <w:sz w:val="22"/>
        </w:rPr>
        <w:t>Trade Secret Information about the customer as a result of Participant’s association with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Within the geographic territory where Participant was employed by the Company, about which Participant obtained knowledge of Confidential/Proprietary Trade Secret Information, or where Participant had Material Contact with the Company’s customers (the “</w:t>
      </w:r>
      <w:r>
        <w:rPr>
          <w:rFonts w:ascii="Times New Roman;serif" w:hAnsi="Times New Roman;serif"/>
          <w:b/>
          <w:color w:val="000000"/>
          <w:sz w:val="22"/>
        </w:rPr>
        <w:t>Restricted Area</w:t>
      </w:r>
      <w:r>
        <w:rPr>
          <w:color w:val="000000"/>
        </w:rPr>
        <w:t>”</w:t>
      </w:r>
      <w:r>
        <w:rPr>
          <w:rFonts w:ascii="Times New Roman;serif" w:hAnsi="Times New Roman;serif"/>
          <w:b w:val="false"/>
          <w:color w:val="000000"/>
          <w:sz w:val="22"/>
        </w:rPr>
        <w:t>): (i) render to any Competitor any services that are the same as, similar to, or competitive with the services that Participant provided to the Company; or (ii) otherwise become employed by or otherwise render services to (as a director, employee, contractor or consultant) or have any ownership interest in any Competitor. “</w:t>
      </w:r>
      <w:r>
        <w:rPr>
          <w:rFonts w:ascii="Times New Roman;serif" w:hAnsi="Times New Roman;serif"/>
          <w:b/>
          <w:color w:val="000000"/>
          <w:sz w:val="22"/>
        </w:rPr>
        <w:t>Competitor</w:t>
      </w:r>
      <w:r>
        <w:rPr>
          <w:rFonts w:ascii="Times New Roman;serif" w:hAnsi="Times New Roman;serif"/>
          <w:b w:val="false"/>
          <w:color w:val="000000"/>
          <w:sz w:val="22"/>
        </w:rPr>
        <w:t>,” for purposes of this Restrictive Covenants Agreement means any business which is engaged in offering the same or similar products or services as, or otherwise competes with those manufactured, designed, offered, or sold by the Company, including its subsidiaries and operating unit(s) with which Participant was employed or in any way involved during the last twelve (12) months of employment with the Company; or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 induce, offer, assist, encourage or suggest that another corporation, business, partnership, limited liability company, unincorporated association, enterprise, or other entity offer employment to or enter into a consulting arrangement with any employee, agent or representative of the Company or (ii) solicit, induce, offer, assist, encourage or suggest that any employee, agent or representative of the Company terminate his or her employment or business affiliation with the Company or accept employment with any other corporation, business, partnership, limited liability company, unincorporated association, enterprise, or other entity.</w:t>
      </w:r>
    </w:p>
    <w:p>
      <w:pPr>
        <w:pStyle w:val="TextBody"/>
        <w:bidi w:val="0"/>
        <w:spacing w:before="0" w:after="24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Confidential/Proprietary Trade Secret Information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Participant agrees to keep secret and confidential all Confidential/Proprietary Trade Secret Information (further described below) acquired by Participant while employed by the Company or concerning the business and affairs of the Company, its vendors, its customers, and its affiliates (whether of a business, commercial or technological nature), and further agrees that Participant will not disclose any such Confidential/Proprietary Trade Secret Information so acquired to any individual, partner, company, firm, corporation or other person or use the same in any manner other than in connection with the business and affairs of the Company and its affiliates. Except in the performance of services for the Company, the Participant will not, for so long as the Confidential/Proprietary Trade Secret Information remains so designated under applicable law, use, disclose, reproduce, distribute, transmit, reverse engineer, decompile, disassemble, or transfer the Confidential/Proprietary Trade Secret Information or any portion thereof.</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(ii)    For purposes of this Restrictive Covenants Agreement, “</w:t>
      </w:r>
      <w:r>
        <w:rPr>
          <w:rFonts w:ascii="Times New Roman;serif" w:hAnsi="Times New Roman;serif"/>
          <w:b/>
          <w:color w:val="000000"/>
          <w:sz w:val="22"/>
        </w:rPr>
        <w:t>Confidential/Proprietary Trade Secret Information</w:t>
      </w:r>
      <w:r>
        <w:rPr>
          <w:color w:val="000000"/>
        </w:rPr>
        <w:t xml:space="preserve">” </w:t>
      </w:r>
      <w:r>
        <w:rPr>
          <w:rFonts w:ascii="Times New Roman;serif" w:hAnsi="Times New Roman;serif"/>
          <w:b w:val="false"/>
          <w:color w:val="000000"/>
          <w:sz w:val="22"/>
        </w:rPr>
        <w:t>includes all information of a confidential or proprietary nature that relates to the business, products, services, research or development of the Company, and its affiliates or their respective suppliers, distributors, customers, independent contractors or other business relations. Confidential/Proprietary Trade Secret Information also includes, but is not limited to, the following: (A) internal business information (including information relating to strategic and staffing plans and practices, business, training, financial, marketing,</w:t>
      </w:r>
      <w:r>
        <w:rPr>
          <w:color w:val="000000"/>
        </w:rPr>
        <w:t xml:space="preserve"> </w:t>
      </w:r>
      <w:r>
        <w:rPr>
          <w:rFonts w:ascii="Times New Roman;serif" w:hAnsi="Times New Roman;serif"/>
          <w:b w:val="false"/>
          <w:color w:val="000000"/>
          <w:sz w:val="22"/>
        </w:rPr>
        <w:t>promotional and sales plans and practices, cost, rate and pricing structures, accounting and business methods and customer and supplier lists); (B) identities of, individual requirements of, specific contractual arrangements with and information about, the Company’s suppliers, distributors, customers, independent contractors or other business relations and their confidential information; (C) customer usage, volume, and discount information; (D) trade secrets, copyrightable works and other confidential information (including ideas, formulas, recipes, compositions, inventions, innovations, improvements, developments, methods, know-how, manufacturing and production processes and techniques, research and development information, compilations of data and analyses, data and databases relating thereto, techniques, systems, records, manuals, documentation, models, drawings, specifications, designs, plans, proposals, reports and all similar or related information whether patentable or unpatentable and whether or not reduced to practice); (D) other intellectual property rights of the Company, or any of its affiliates; and (E) any other information that would constitute a trade secret under the Pennsylvania Uniform Trade Secrets Act, as amended from time to time (or any successor law). The term “Confidential/Proprietary Trade Secret Information” also includes any information or data described above which the Company obtains from another party and which the Company treats as proprietary or designates as trade secrets, whether or not owned or developed by the Company.</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All documents and materials supplied to Participant or developed by Participant in the course of, or as a result of Participant’s employment at the Company, and all Company Confidential/Proprietary Trade Secret Information, whether in hard copy, electronic format or otherwise shall be the sole property of the Company. Participant will at any time upon the request of the Company and in any event promptly upon termination of Participant’s employment or relationship with the Company, but in any event no later than five (5) business days after such termination, deliver all such materials to the Company and will not retain any originals or copies of such materials, whether in hard copy form or as computerized and/or electronic records. Except to the extent approved by the Company or required by Participant’s bona fide job duties for the Company, the Participant also agrees that Participant will not copy or remove from the Company’s place of business or the place of business of a customer of the Company, property or information belonging to the Company or the customer or entrusted to the Company </w:t>
      </w:r>
    </w:p>
    <w:p>
      <w:pPr>
        <w:pStyle w:val="TextBody"/>
        <w:bidi w:val="0"/>
        <w:spacing w:before="0" w:after="24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 the customer. In addition, the Participant agrees that Participant will not provide any such materials to any competitor of or any person or entity seeking to compete with the Company unless specifically approved in writing by the Company. Notwithstanding anything in paragraph 2(d)(3) of this Restrictive Covenants Agreement to the contrary, if the Company needs to take legal action to secure such return delivery of such materials, Participant shall be responsible for all legal fees, costs and expenses incurred by the Company in doing so.</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(iv)    Participant understands that nothing contained in this Restrictive Covenants Agreement limits Participant’s ability to file a charge or complaint with any federal, state or local governmental agency or commission (“</w:t>
      </w:r>
      <w:r>
        <w:rPr>
          <w:rFonts w:ascii="Times New Roman;serif" w:hAnsi="Times New Roman;serif"/>
          <w:b/>
          <w:color w:val="000000"/>
          <w:sz w:val="22"/>
        </w:rPr>
        <w:t>Government Agencies</w:t>
      </w:r>
      <w:r>
        <w:rPr>
          <w:color w:val="000000"/>
        </w:rPr>
        <w:t>”</w:t>
      </w:r>
      <w:r>
        <w:rPr>
          <w:rFonts w:ascii="Times New Roman;serif" w:hAnsi="Times New Roman;serif"/>
          <w:b w:val="false"/>
          <w:color w:val="000000"/>
          <w:sz w:val="22"/>
        </w:rPr>
        <w:t xml:space="preserve">). Participant further understands that this Restrictive Covenants Agreement does not limit Participant’s ability to communicate with any Government Agencies or otherwise participate in any investigation or proceeding that may be commenced by any Government Agency including providing documents or other information without notice to the Company. This Restrictive Covenants Agreement does not limit the Participant’s right to receive an award for information provided to any Government Agencies.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    Nothing in this Restrictive Covenants Agreement is intended to or shall be interpreted to prohibit disclosure of information to the limited extent permitted by and in accordance with the federal Defend Trade Secrets Act of 2016 (“DTSA”). Stated otherwise, disclosures that are protected by the DTSA as follows do not violate this Agreement. The DTSA provides that: “(1) An individual shall not be held criminally or civilly liable under any Federal or State trade secret law for the disclosure of a trade secret that – (A) is made – (i) in confident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DTSA further provides that: “(2) An individual who files a lawsuit for retaliation by an employer for reporting a suspected violation of law may disclose the trade secret to the attorney of the individual and use the trade secret information in the court proceeding, if the individual – (A) files any document containing the trade secret under seal; and (B) does not disclose the trade secret, except pursuant to court order.”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Nothing in this Restrictive Covenants Agreement, however, waives or authorizes Participant to waive or disclose any attorney work product, attorney-client privilege, or other legal privilege of the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Subsequent Employment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Advise the Company of New Employment</w:t>
      </w:r>
      <w:r>
        <w:rPr>
          <w:rFonts w:ascii="Times New Roman;serif" w:hAnsi="Times New Roman;serif"/>
          <w:b w:val="false"/>
          <w:color w:val="000000"/>
          <w:sz w:val="22"/>
        </w:rPr>
        <w:t>. In the event of a cessation of Participant’s employment with the Company, and during the Restricted Period described in paragraph 2 above, Participant agrees to disclose to the Company the name and address of any new employer or business affiliation and Participant’s anticipated position within ten (10) calendar days of Participant accepting and, in all events before starting, such position. In the event that Participant fails to notify the Company of such new employment or business affiliation as required above, the Restricted Period will be extended by a period equal to the period of nondisclosure.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Participant’s Ability to Earn Livelihood</w:t>
      </w:r>
      <w:r>
        <w:rPr>
          <w:rFonts w:ascii="Times New Roman;serif" w:hAnsi="Times New Roman;serif"/>
          <w:b w:val="false"/>
          <w:color w:val="000000"/>
          <w:sz w:val="22"/>
        </w:rPr>
        <w:t>. Participant acknowledges that, in the event of a cessation of Participant’s employment with the Company, for any reason and at any time, the provisions of this Restrictive Covenants Agreement, including paragraph 2, will not unreasonably restrict Participant’s ability to earn a living. Participant and the Company acknowledge that Participant’s rights have been limited by this Restrictive Covenants Agreement only to the extent reasonably necessary to protect the legitimate interests of the Company in its Confidential/Proprietary Trade Secret Information.</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Enforcement</w:t>
      </w:r>
      <w:r>
        <w:rPr>
          <w:rFonts w:ascii="Times New Roman;serif" w:hAnsi="Times New Roman;serif"/>
          <w:b w:val="false"/>
          <w:color w:val="000000"/>
          <w:sz w:val="22"/>
        </w:rPr>
        <w:t>. Participant agrees that, if Participant violates the covenants and agreements set forth in this Restrictive Covenants Agreement, the Company would suffer irreparable harm, and that such harm to the Company may be impossible to measure in monetary damages. Accordingly, in addition to any other remedies which the Company may have at law or in equity, the Company will have the right to have all obligations, undertakings, agreements, covenants and other provisions of this Restrictive Covenants Agreement specifically performed by Participant, and the Company will have the right to obtain a temporary restraining order, special injunction, and/or temporary, preliminary and permanent injunctive relief to secure specific performance, and to prevent a breach or contemplated breach, of this Restrictive Covenants Agreement. The Company will be entitled to an accounting and repayment of all profits, compensation, remunerations or benefits which Participant or others, directly or indirectly, have realized or may realize as a result of, growing out of, or in conjunction with any violation of this Restrictive Covenants Agreement. Such remedies will be an addition to and not in limitation of any injunctive relief or other rights or remedies to which the Company is or may be entitled at law or in equity. In the event that the Company obtains any requested relief in any action brought to enforce the terms of this Restrictive Covenants Agreement through court proceedings, the Company will be entitled to reimbursement for all legal fees, costs and expenses incident to enforcement.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Severability and Reformation</w:t>
      </w:r>
      <w:r>
        <w:rPr>
          <w:rFonts w:ascii="Times New Roman;serif" w:hAnsi="Times New Roman;serif"/>
          <w:b w:val="false"/>
          <w:color w:val="000000"/>
          <w:sz w:val="22"/>
        </w:rPr>
        <w:t xml:space="preserve">. If any section, paragraph, term or provision of this Restrictive Covenants Agreement, or the application thereof, is determined by a competent court or tribunal to be overbroad, invalid or unenforceable, then the other parts of such section, paragraph, term or provision will not be affected thereby and will be given full force and effect without regard to the invalid or unenforceable portions, and the section, paragraph, term or provision of this Restrictive Covenants Agreement will be deemed modified to the extent necessary to render it valid and enforceable. The parties specifically agree that the court or other tribunal shall, and its is the desire of the parties that the court or other tribunal does, reform any such section, paragraph, term or provision to render the Restrictive Covenants Agreement and each such section, paragraph, term or provision enforceable to the maximum extent permitted by law. If the court or other tribunal determines that the section, paragraph, term or provision cannot be modified, then such section, paragraph, term or provision will be stricken from the Restrictive Covenants Agreement and severed, and the other sections, paragraphs, terms and provisions will remain in full force and effect.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Employment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This Restrictive Covenants Agreement does not constitute a guarantee of employment and termination of employment will not affect the enforceability of this Restrictive Covenants Agreement.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Participant agrees that if Participant is transferred from the entity or division which was Participant’s employer at the time Participant signed this Restrictive Covenants Agreement to employment by another division or another company that is a subsidiary or affiliate of Enviri Corporation, and Participant has not entered into a superseding agreement with the new employer covering the subject matter of this Restrictive Covenants Agreement, then this Restrictive Covenants Agreement will continue in effect and the Participant’s new employer will be termed “the Company” for all purposes hereunder and will have the right to enforce this Restrictive Covenants Agreement as Participant’s employer. In the event of any subsequent transfer, Participant’s new employer will succeed to all rights under this Restrictive Covenants Agreement so long as such employer will be Enviri Corporation or one of its subsidiaries or affiliates and so long as this Restrictive Covenants Agreement has not been superseded.</w:t>
      </w:r>
    </w:p>
    <w:p>
      <w:pPr>
        <w:pStyle w:val="TextBody"/>
        <w:bidi w:val="0"/>
        <w:jc w:val="both"/>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contained in this Restrictive Covenants Agreement are inserted for convenience of reference only, and will not be deemed to be a part of this Restrictive Covenants Agreement for any purposes, and will not in any way define or affect the meaning, construction or scope of any of the provisions of this Restrictive Covenants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 and Forum</w:t>
      </w:r>
      <w:r>
        <w:rPr>
          <w:rFonts w:ascii="Times New Roman;serif" w:hAnsi="Times New Roman;serif"/>
          <w:b w:val="false"/>
          <w:color w:val="000000"/>
          <w:sz w:val="22"/>
        </w:rPr>
        <w:t>. Except as provided in the State-Specific Modifications on Exhibit A-1, this Restrictive Covenants Agreement will be construed under the laws of the Commonwealth of Pennsylvania, without regard to its conflict of law provisions, and the parties consent and agree that the federal and state courts of the Commonwealth of Pennsylvania will have exclusive jurisdiction over any dispute relating to this Restrictive Covenants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Supplemental Nature of this Restrictive Covenants Agreement</w:t>
      </w:r>
      <w:r>
        <w:rPr>
          <w:rFonts w:ascii="Times New Roman;serif" w:hAnsi="Times New Roman;serif"/>
          <w:b w:val="false"/>
          <w:color w:val="000000"/>
          <w:sz w:val="22"/>
        </w:rPr>
        <w:t>. The restrictions set forth in paragraph 2 of this Restrictive Covenants Agreement will be in addition to any other such restrictive covenants agreed to through separate agreements, if any, between Participant and the Company and will survive the exercise of the equity award evidenced by the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Waiver</w:t>
      </w:r>
      <w:r>
        <w:rPr>
          <w:rFonts w:ascii="Times New Roman;serif" w:hAnsi="Times New Roman;serif"/>
          <w:b w:val="false"/>
          <w:color w:val="000000"/>
          <w:sz w:val="22"/>
        </w:rPr>
        <w:t>. The failure by the Company to enforce any right or remedy available to it under this Restrictive Covenants Agreement will not be construed to be a waiver of such right or remedy with respect to any other prior, concurrent or subsequent breach or failure. No waiver of rights under this Restrictive Covenants Agreement will be effective unless made in writing with specific reference to this Restrictive Covenants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Notification</w:t>
      </w:r>
      <w:r>
        <w:rPr>
          <w:rFonts w:ascii="Times New Roman;serif" w:hAnsi="Times New Roman;serif"/>
          <w:b w:val="false"/>
          <w:color w:val="000000"/>
          <w:sz w:val="22"/>
        </w:rPr>
        <w:t>. Participant agrees that it shall notify any potential subsequent employer or business affiliation of the terms of this Restrictive Covenants Agreement before accepting such subsequent employment or business affiliation. Without limiting the foregoing, Participant agrees that the Company may notify any third party about Participant’s obligations under this Restrictive Covenants Agreement until such time as Participant has performed all of Participant’s obligations hereunder. Upon the Company’s request, Participant agrees to provide the Company with information, including, but not limited to, supplying details of Participant’s subsequent employment, sufficient to verify that Participant has not breached, or is not breaching, any covenant in this Restrictive Covenants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Tolling</w:t>
      </w:r>
      <w:r>
        <w:rPr>
          <w:rFonts w:ascii="Times New Roman;serif" w:hAnsi="Times New Roman;serif"/>
          <w:b w:val="false"/>
          <w:color w:val="000000"/>
          <w:sz w:val="22"/>
        </w:rPr>
        <w:t>. In the event that Participant violates any of the covenants set forth in this Restrictive Covenants Agreement, then the Company shall have the benefit of the full period of the covenants such that the covenants shall have the duration of the Restricted Period computed from the date Participant ceased violation of the covenants, either by order of the court or otherwise.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Acknowledgements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Participant acknowledges and agrees that this Restrictive Covenants Agreement is in consideration of, (A) the grant evidenced by the Agreement, (B) access to Confidential/Proprietary Trade Secret Information, as required by Participant’s job duties, and (C) access to important customer relationships and the associated customer goodwill of the Company.</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Participant acknowledges that he or she has carefully read and considered the provisions of this Restrictive Covenants Agreement, and that this Restrictive Covenants Agreement is reasonable as to time and scope and activities prohibited, given the Company’s need to protect its interests and given the consideration provided to Participant in the form of the grant evidenced by the Agreement.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Participant acknowledges that he or she has had an opportunity to consult with an independent legal counsel of Participant’s choosing, and accept the grant contained in the Agreement on </w:t>
      </w:r>
    </w:p>
    <w:p>
      <w:pPr>
        <w:pStyle w:val="TextBody"/>
        <w:bidi w:val="0"/>
        <w:spacing w:before="0" w:after="24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terms set forth in this Restrictive Covenants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Participant, intending to be legally bound, agrees to the foregoing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w:t>
      </w:r>
    </w:p>
    <w:p>
      <w:pPr>
        <w:pStyle w:val="TextBody"/>
        <w:bidi w:val="0"/>
        <w:jc w:val="center"/>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A-1</w:t>
        <w:br/>
        <w:t>STATE-SPECIFIC MODIFICATIONS TO RESTRICTIVE COVENANTS AGREEMENT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49"/>
        <w:gridCol w:w="350"/>
        <w:gridCol w:w="2668"/>
        <w:gridCol w:w="2668"/>
        <w:gridCol w:w="377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Minnesota</w:t>
            </w:r>
          </w:p>
        </w:tc>
        <w:tc>
          <w:tcPr>
            <w:tcW w:w="91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Participant primarily resides and works in Minnesota, the following paragraphs of the Restrictive Covenant Agreement are modified as follows: </w:t>
            </w:r>
          </w:p>
          <w:p>
            <w:pPr>
              <w:pStyle w:val="TableContents"/>
              <w:bidi w:val="0"/>
              <w:spacing w:before="0" w:after="0"/>
              <w:jc w:val="left"/>
              <w:rPr/>
            </w:pPr>
            <w:r>
              <w:rPr/>
            </w:r>
          </w:p>
          <w:p>
            <w:pPr>
              <w:pStyle w:val="TableContents"/>
              <w:bidi w:val="0"/>
              <w:spacing w:lineRule="auto" w:line="288" w:before="0" w:after="0"/>
              <w:ind w:left="0" w:right="0" w:hanging="340"/>
              <w:jc w:val="left"/>
              <w:rPr>
                <w:rFonts w:ascii="Times New Roman;serif" w:hAnsi="Times New Roman;serif"/>
                <w:b w:val="false"/>
                <w:color w:val="000000"/>
                <w:sz w:val="22"/>
              </w:rPr>
            </w:pPr>
            <w:r>
              <w:rPr>
                <w:rFonts w:ascii="Times New Roman;serif" w:hAnsi="Times New Roman;serif"/>
                <w:b w:val="false"/>
                <w:color w:val="000000"/>
                <w:sz w:val="22"/>
              </w:rPr>
              <w:t xml:space="preserve">(1) Paragraph 2(a) is stricken and replaced with the following: </w:t>
              <w:br/>
              <w:br/>
              <w:t>“(a)    For Participant or on behalf of any other corporation, business, partnership, limited liability company, unincorporated association, enterprise, or other entity, directly or indirectly solicit or attempt to solicit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“Material Contact” with a customer if: (i) Participant had business dealings with the customer on the Company’s behalf; (ii) Participant was responsible for supervising or coordinating the dealings between the Company and the customer; or (iii) Participant obtained Confidential/Proprietary Trade Secret Information about the customer as a result of Participant’s association with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Paragraph 2(b) is stricken and does not apply to Participant; and</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 The terms “Pennsylvania” and “Commonwealth of Pennsylvania” in paragraph 6(c) are replaced with “Minnesota.”.</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2"/>
        <w:gridCol w:w="283"/>
        <w:gridCol w:w="2729"/>
        <w:gridCol w:w="2729"/>
        <w:gridCol w:w="38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Virginia</w:t>
            </w:r>
          </w:p>
        </w:tc>
        <w:tc>
          <w:tcPr>
            <w:tcW w:w="93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Participant primarily resides and works in Virginia, the following paragraphs of the Restrictive Covenant Agreement are modified as follows: </w:t>
            </w:r>
          </w:p>
          <w:p>
            <w:pPr>
              <w:pStyle w:val="TableContents"/>
              <w:bidi w:val="0"/>
              <w:spacing w:before="0" w:after="0"/>
              <w:jc w:val="left"/>
              <w:rPr/>
            </w:pPr>
            <w:r>
              <w:rPr/>
            </w:r>
          </w:p>
          <w:p>
            <w:pPr>
              <w:pStyle w:val="TableContents"/>
              <w:bidi w:val="0"/>
              <w:spacing w:lineRule="auto" w:line="288" w:before="0" w:after="0"/>
              <w:ind w:left="0" w:right="0" w:hanging="340"/>
              <w:jc w:val="left"/>
              <w:rPr>
                <w:rFonts w:ascii="Times New Roman;serif" w:hAnsi="Times New Roman;serif"/>
                <w:b w:val="false"/>
                <w:color w:val="000000"/>
                <w:sz w:val="22"/>
              </w:rPr>
            </w:pPr>
            <w:r>
              <w:rPr>
                <w:rFonts w:ascii="Times New Roman;serif" w:hAnsi="Times New Roman;serif"/>
                <w:b w:val="false"/>
                <w:color w:val="000000"/>
                <w:sz w:val="22"/>
              </w:rPr>
              <w:t xml:space="preserve">(1) Paragraph 2(a) is stricken and replaced with the following: </w:t>
              <w:br/>
              <w:br/>
              <w:t>“(a)    For Participant or on behalf of any other corporation, business, partnership, limited liability company, unincorporated association, enterprise, or other entity, directly or indirectly solicit or otherwise initiate contact with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“Material Contact” with a customer if: (i) Participant had business dealings with the customer on the Company’s behalf; (ii) Participant was responsible for supervising or coordinating the dealings between the Company and the customer; or (iii) Participant obtained Confidential/Proprietary Trade Secret Information about the customer as a result of Participant’s association with the Company;”</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    Paragraph 2 does not restrict Participant from providing a service to a customer or client of the Company if the employee does not initiate contact with or solicit the customer or client.</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    Paragraph 2(b) does not apply to a “low-wage employee” within the meaning of Code of Virginia § 40.1-28.7:8. </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    For agreements signed on or after July 1, 2026, if Participant is terminated by the Company without cause, Paragraph 2(b) does not apply to Participant unless the Company pays to Participant a payment in the amount of $1,000.00. </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    The terms “Pennsylvania” in paragraph 6(c) is replaced with “Virigina”.</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SHARE UNIT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 FOUNDER GRANT)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PERFORMANCE SHARE UNIT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as of [●] (the “</w:t>
      </w:r>
      <w:r>
        <w:rPr>
          <w:rFonts w:ascii="Times New Roman;serif" w:hAnsi="Times New Roman;serif"/>
          <w:b/>
          <w:color w:val="000000"/>
          <w:sz w:val="22"/>
        </w:rPr>
        <w:t>Date of Grant</w:t>
      </w:r>
      <w:r>
        <w:rPr>
          <w:color w:val="000000"/>
        </w:rPr>
        <w:t>”</w:t>
      </w:r>
      <w:r>
        <w:rPr>
          <w:rFonts w:ascii="Times New Roman;serif" w:hAnsi="Times New Roman;serif"/>
          <w:b w:val="false"/>
          <w:color w:val="000000"/>
          <w:sz w:val="22"/>
        </w:rPr>
        <w:t>), by and between Enviri Corporation, a Delaware corporation, and [PARTICIPANT NAME]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Capitalized terms used, but not otherwise defined, in this Agreement will have the meanings given to such terms in the Company’s 2026 Omnibus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Grant of PSUs</w:t>
      </w:r>
      <w:r>
        <w:rPr>
          <w:rFonts w:ascii="Times New Roman;serif" w:hAnsi="Times New Roman;serif"/>
          <w:b w:val="false"/>
          <w:color w:val="000000"/>
          <w:sz w:val="22"/>
        </w:rPr>
        <w:t xml:space="preserve">. Subject to and upon the terms, conditions and restrictions set forth in this Agreement, including, without limitation,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and subject to any state-specific modifications set forth on </w:t>
      </w:r>
      <w:r>
        <w:rPr>
          <w:rFonts w:ascii="Times New Roman;serif" w:hAnsi="Times New Roman;serif"/>
          <w:b w:val="false"/>
          <w:color w:val="000000"/>
          <w:sz w:val="22"/>
          <w:u w:val="single"/>
        </w:rPr>
        <w:t>Exhibit A-1</w:t>
      </w:r>
      <w:r>
        <w:rPr>
          <w:color w:val="000000"/>
        </w:rPr>
        <w:t xml:space="preserve"> </w:t>
      </w:r>
      <w:r>
        <w:rPr>
          <w:rFonts w:ascii="Times New Roman;serif" w:hAnsi="Times New Roman;serif"/>
          <w:b w:val="false"/>
          <w:color w:val="000000"/>
          <w:sz w:val="22"/>
        </w:rPr>
        <w:t>attached hereto (the “</w:t>
      </w:r>
      <w:r>
        <w:rPr>
          <w:rFonts w:ascii="Times New Roman;serif" w:hAnsi="Times New Roman;serif"/>
          <w:b/>
          <w:color w:val="000000"/>
          <w:sz w:val="22"/>
        </w:rPr>
        <w:t>Restrictive Covenants Agreement</w:t>
      </w:r>
      <w:r>
        <w:rPr>
          <w:color w:val="000000"/>
        </w:rPr>
        <w:t>”</w:t>
      </w:r>
      <w:r>
        <w:rPr>
          <w:rFonts w:ascii="Times New Roman;serif" w:hAnsi="Times New Roman;serif"/>
          <w:b w:val="false"/>
          <w:color w:val="000000"/>
          <w:sz w:val="22"/>
        </w:rPr>
        <w:t xml:space="preserve">), any additional terms and conditions for the Participant’s country (Participants outside the United States only) set forth in the attached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which forms part of this Agreement, and in the Plan, the Company grants to the Participant, as of the Date of Grant, a target number of [NUMBER] performance-based Restricted Stock Units (“</w:t>
      </w:r>
      <w:r>
        <w:rPr>
          <w:rFonts w:ascii="Times New Roman;serif" w:hAnsi="Times New Roman;serif"/>
          <w:b/>
          <w:color w:val="000000"/>
          <w:sz w:val="22"/>
        </w:rPr>
        <w:t>PSUs</w:t>
      </w:r>
      <w:r>
        <w:rPr>
          <w:color w:val="000000"/>
        </w:rPr>
        <w:t>”</w:t>
      </w:r>
      <w:r>
        <w:rPr>
          <w:rFonts w:ascii="Times New Roman;serif" w:hAnsi="Times New Roman;serif"/>
          <w:b w:val="false"/>
          <w:color w:val="000000"/>
          <w:sz w:val="22"/>
        </w:rPr>
        <w:t xml:space="preserve">). Notwithstanding anything in this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or otherwise in this Agreement to the contrary, the Participant acknowledges and agrees to be bound by the restrictive covenant terms, conditions and provisions in the Restrictive Covenants Agreement as a “Participant” as referred to therein.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Restrictions on Transfer of PSUs</w:t>
      </w:r>
      <w:r>
        <w:rPr>
          <w:rFonts w:ascii="Times New Roman;serif" w:hAnsi="Times New Roman;serif"/>
          <w:b w:val="false"/>
          <w:color w:val="000000"/>
          <w:sz w:val="22"/>
        </w:rPr>
        <w:t xml:space="preserve">. Neither the PSUs granted hereby nor any interest therein or in the Common Stock related thereto shall be transferable prior to payment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other than by will or pursuant to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Vesting of PSUs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Subject to the terms and conditions of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hereof and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hereto, the Participant’s right to receive Common Stock in settlement of the PSUs shall become nonforfeitable with respect to (i) 0% to 250% of the PSUs on the basis of the Stock Price achievement during the Performance Period as set forth in the Management Objectives (the “</w:t>
      </w:r>
      <w:r>
        <w:rPr>
          <w:rFonts w:ascii="Times New Roman;serif" w:hAnsi="Times New Roman;serif"/>
          <w:b/>
          <w:color w:val="000000"/>
          <w:sz w:val="22"/>
        </w:rPr>
        <w:t>Earned PSUs</w:t>
      </w:r>
      <w:r>
        <w:rPr>
          <w:color w:val="000000"/>
        </w:rPr>
        <w:t>”</w:t>
      </w:r>
      <w:r>
        <w:rPr>
          <w:rFonts w:ascii="Times New Roman;serif" w:hAnsi="Times New Roman;serif"/>
          <w:b w:val="false"/>
          <w:color w:val="000000"/>
          <w:sz w:val="22"/>
        </w:rPr>
        <w:t>). The Earned PSUs will be determined on the date following the end of the Performance Period on which the Committee determines the level of attainment of the Management Objectives for the Performance Period, which date must occur within 60 days after the end of the Performance Period (the “</w:t>
      </w:r>
      <w:r>
        <w:rPr>
          <w:rFonts w:ascii="Times New Roman;serif" w:hAnsi="Times New Roman;serif"/>
          <w:b/>
          <w:color w:val="000000"/>
          <w:sz w:val="22"/>
        </w:rPr>
        <w:t>Committee Determination Date</w:t>
      </w:r>
      <w:r>
        <w:rPr>
          <w:color w:val="000000"/>
        </w:rPr>
        <w:t>”</w:t>
      </w:r>
      <w:r>
        <w:rPr>
          <w:rFonts w:ascii="Times New Roman;serif" w:hAnsi="Times New Roman;serif"/>
          <w:b w:val="false"/>
          <w:color w:val="000000"/>
          <w:sz w:val="22"/>
        </w:rPr>
        <w:t>). Except as otherwise provided herein, the Participant’s right to receive Common Stock in settlement of the PSUs is contingent upon his or her remaining in Continuous Service through the end of the Performance Period.</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For purposes of this Agreement:</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    “</w:t>
      </w:r>
      <w:r>
        <w:rPr>
          <w:rFonts w:ascii="Times New Roman;serif" w:hAnsi="Times New Roman;serif"/>
          <w:b/>
          <w:color w:val="000000"/>
          <w:sz w:val="22"/>
        </w:rPr>
        <w:t>Management Objectives</w:t>
      </w:r>
      <w:r>
        <w:rPr>
          <w:color w:val="000000"/>
        </w:rPr>
        <w:t xml:space="preserve">” </w:t>
      </w:r>
      <w:r>
        <w:rPr>
          <w:rFonts w:ascii="Times New Roman;serif" w:hAnsi="Times New Roman;serif"/>
          <w:b w:val="false"/>
          <w:color w:val="000000"/>
          <w:sz w:val="22"/>
        </w:rPr>
        <w:t xml:space="preserve">means the threshold, target, high and overachievement goals established by the Committee for the Performance Period with respect to Stock Price, as described in the Statement of Management Objectives attached hereto as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lineRule="auto" w:line="288"/>
        <w:ind w:left="0" w:right="0" w:firstLine="2160"/>
        <w:jc w:val="both"/>
        <w:rPr/>
      </w:pPr>
      <w:r>
        <w:rPr>
          <w:rFonts w:ascii="Times New Roman;serif" w:hAnsi="Times New Roman;serif"/>
          <w:b w:val="false"/>
          <w:color w:val="000000"/>
          <w:sz w:val="22"/>
        </w:rPr>
        <w:t>(ii)    “</w:t>
      </w:r>
      <w:r>
        <w:rPr>
          <w:rFonts w:ascii="Times New Roman;serif" w:hAnsi="Times New Roman;serif"/>
          <w:b/>
          <w:color w:val="000000"/>
          <w:sz w:val="22"/>
        </w:rPr>
        <w:t>Performance Period</w:t>
      </w:r>
      <w:r>
        <w:rPr>
          <w:color w:val="000000"/>
        </w:rPr>
        <w:t xml:space="preserve">” </w:t>
      </w:r>
      <w:r>
        <w:rPr>
          <w:rFonts w:ascii="Times New Roman;serif" w:hAnsi="Times New Roman;serif"/>
          <w:b w:val="false"/>
          <w:color w:val="000000"/>
          <w:sz w:val="22"/>
        </w:rPr>
        <w:t>means the three-year period commencing on the June 1, 2026, and ending on June 30, 2029.</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(iii)    “</w:t>
      </w:r>
      <w:r>
        <w:rPr>
          <w:rFonts w:ascii="Times New Roman;serif" w:hAnsi="Times New Roman;serif"/>
          <w:b/>
          <w:color w:val="000000"/>
          <w:sz w:val="22"/>
        </w:rPr>
        <w:t>Stock Price</w:t>
      </w:r>
      <w:r>
        <w:rPr>
          <w:color w:val="000000"/>
        </w:rPr>
        <w:t xml:space="preserve">” </w:t>
      </w:r>
      <w:r>
        <w:rPr>
          <w:rFonts w:ascii="Times New Roman;serif" w:hAnsi="Times New Roman;serif"/>
          <w:b w:val="false"/>
          <w:color w:val="000000"/>
          <w:sz w:val="22"/>
        </w:rPr>
        <w:t>means the average of the volume weighted averages of the price of the Common Stock on the principal stock exchange on which the Common Stock then trades (as reported by Bloomberg, L.P. or, if not reported therein, in another authoritative source selected by the Company) for the 90 calendar days immediately preceding the end of the Performance Period.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above, if the Participant dies or experiences a Disability during any calendar year of the Performance Period during the Participant’s Continuous Service (the “</w:t>
      </w:r>
      <w:r>
        <w:rPr>
          <w:rFonts w:ascii="Times New Roman;serif" w:hAnsi="Times New Roman;serif"/>
          <w:b/>
          <w:color w:val="000000"/>
          <w:sz w:val="22"/>
        </w:rPr>
        <w:t>Death/Disability Year</w:t>
      </w:r>
      <w:r>
        <w:rPr>
          <w:color w:val="000000"/>
        </w:rPr>
        <w:t>”</w:t>
      </w:r>
      <w:r>
        <w:rPr>
          <w:rFonts w:ascii="Times New Roman;serif" w:hAnsi="Times New Roman;serif"/>
          <w:b w:val="false"/>
          <w:color w:val="000000"/>
          <w:sz w:val="22"/>
        </w:rPr>
        <w:t>), provided, that the PSUs have not previously been forfeited or become nonforfeitable at such time, then (notwithstanding anything in the Management Objectives to the contrary): (A) the Performance Period will be deemed to end on December 31 of the Death/Disability Year (the “</w:t>
      </w:r>
      <w:r>
        <w:rPr>
          <w:rFonts w:ascii="Times New Roman;serif" w:hAnsi="Times New Roman;serif"/>
          <w:b/>
          <w:color w:val="000000"/>
          <w:sz w:val="22"/>
        </w:rPr>
        <w:t>Death/Disability Measurement Date</w:t>
      </w:r>
      <w:r>
        <w:rPr>
          <w:color w:val="000000"/>
        </w:rPr>
        <w:t>”</w:t>
      </w:r>
      <w:r>
        <w:rPr>
          <w:rFonts w:ascii="Times New Roman;serif" w:hAnsi="Times New Roman;serif"/>
          <w:b w:val="false"/>
          <w:color w:val="000000"/>
          <w:sz w:val="22"/>
        </w:rPr>
        <w:t xml:space="preserve">); (B) the PSUs will continue to be eligible to become nonforfeitable (and payable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as if the Participant remained in Continuous Service until the end of the Death/Disability Measurement Date; (C) the Stock Price determination will be based on the Stock Price for the 90 calendar days immediately preceding the January 1st immediately following the Death/Disability Measurement Date on the principal stock exchange on which the Common Stock then trades; and (D) the Earned PSUs will be determined on the date following the Death/Disability Measurement Date on which the Committee determines the level of attainment of the Management Objectives for the shortened Performance Period, which date must occur within 60 days after the Death/Disability Measurement Date.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 xml:space="preserve">above, </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    if at any time before the Committee Determination Date or forfeiture of the PSUs, and during the Participant’s Continuous Service, a Change in Control occurs (</w:t>
      </w:r>
      <w:r>
        <w:rPr>
          <w:rFonts w:ascii="Times New Roman;serif" w:hAnsi="Times New Roman;serif"/>
          <w:b w:val="false"/>
          <w:i/>
          <w:color w:val="000000"/>
          <w:sz w:val="22"/>
        </w:rPr>
        <w:t>provided</w:t>
      </w:r>
      <w:r>
        <w:rPr>
          <w:rFonts w:ascii="Times New Roman;serif" w:hAnsi="Times New Roman;serif"/>
          <w:b w:val="false"/>
          <w:color w:val="000000"/>
          <w:sz w:val="22"/>
        </w:rPr>
        <w:t>, that the PSUs have not previously been forfeited or become nonforfeitable at such time), then (notwithstanding anything in the Management Objectives to the contrary): (A) for purposes of calculating the number of Earned PSUs, the Performance Period will be deemed to end on the date that is no fewer than three trading days prior to the date of the Change in Control (the “</w:t>
      </w:r>
      <w:r>
        <w:rPr>
          <w:rFonts w:ascii="Times New Roman;serif" w:hAnsi="Times New Roman;serif"/>
          <w:b/>
          <w:color w:val="000000"/>
          <w:sz w:val="22"/>
        </w:rPr>
        <w:t>CIC Measurement Date</w:t>
      </w:r>
      <w:r>
        <w:rPr>
          <w:color w:val="000000"/>
        </w:rPr>
        <w:t>”</w:t>
      </w:r>
      <w:r>
        <w:rPr>
          <w:rFonts w:ascii="Times New Roman;serif" w:hAnsi="Times New Roman;serif"/>
          <w:b w:val="false"/>
          <w:color w:val="000000"/>
          <w:sz w:val="22"/>
        </w:rPr>
        <w:t>), (B) the Stock Price determination will be based the Stock Price for the 90 calendar days immediately preceding the CIC Measurement Date, and (C) the Earned PSUs will be determined by the Committee on or prior to the consummation of the Change in Control;</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(ii)    if (A) this award is not continued, assumed, substituted, or replaced in accordance with Section 15.1 of the Plan or, (B) following the Change in Control, the Participant will not continue to hold, or otherwise receive, an award that relates to cash or publicly traded equity securities of the Company or its successor or an Affiliate (a “</w:t>
      </w:r>
      <w:r>
        <w:rPr>
          <w:rFonts w:ascii="Times New Roman;serif" w:hAnsi="Times New Roman;serif"/>
          <w:b/>
          <w:color w:val="000000"/>
          <w:sz w:val="22"/>
        </w:rPr>
        <w:t>Replacement Award</w:t>
      </w:r>
      <w:r>
        <w:rPr>
          <w:color w:val="000000"/>
        </w:rPr>
        <w:t>”</w:t>
      </w:r>
      <w:r>
        <w:rPr>
          <w:rFonts w:ascii="Times New Roman;serif" w:hAnsi="Times New Roman;serif"/>
          <w:b w:val="false"/>
          <w:color w:val="000000"/>
          <w:sz w:val="22"/>
        </w:rPr>
        <w:t xml:space="preserve">), the Earned PSU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immediately prior to the consummation of the Change in Control contingent upon the Participant remaining in Continuous Service through the consummation of the Change in Control; and</w:t>
      </w:r>
    </w:p>
    <w:p>
      <w:pPr>
        <w:pStyle w:val="TextBody"/>
        <w:bidi w:val="0"/>
        <w:spacing w:before="0" w:after="240"/>
        <w:jc w:val="left"/>
        <w:rPr/>
      </w:pPr>
      <w:r>
        <w:rPr/>
      </w:r>
    </w:p>
    <w:p>
      <w:pPr>
        <w:pStyle w:val="TextBody"/>
        <w:bidi w:val="0"/>
        <w:spacing w:lineRule="auto" w:line="288"/>
        <w:ind w:left="0" w:right="0" w:firstLine="2160"/>
        <w:jc w:val="both"/>
        <w:rPr/>
      </w:pPr>
      <w:r>
        <w:rPr>
          <w:rFonts w:ascii="Times New Roman;serif" w:hAnsi="Times New Roman;serif"/>
          <w:b w:val="false"/>
          <w:color w:val="000000"/>
          <w:sz w:val="22"/>
        </w:rPr>
        <w:t xml:space="preserve">(iii)    if (A) this award is continued, assumed, substituted, or replaced in accordance with Section 15.1 of the Plan and, (B) following the Change in Control, the Participant will continue to hold or receive a Replacement Award, the Earned PSUs will vest and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as of June 30, 2029, contingent upon the Participant remaining in Continuous Service through such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prior to such date, the Participant’s Continuous Service is terminated either (1) by the Company or its successor without Cause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or by the Participant for Good Reason (as defined below), in either case, within the two-year period following the date of the Change in Control, or (2) due to the Participant’s death or Disability, the Replacement Award will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date of such termination. For purposes of this Agreement, “</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shall have the meaning set forth in the Company’s Executive Severance Plan (if the Participant is also a participant in the Company’s Executive Severance Plan) or otherwise means Participant’s termination of his or her Continuous Service as a result of the occurrence of any of the following: (I) a change in the Participant’s principal location of employment that is greater than 50 miles from such location as of the date of this Agreement without the Participant’s consent (provided, however, that the Participant hereby acknowledges that the Participant may be required to engage in travel in connection with the performance of the Participant’s duties and that such travel shall not constitute a change in the Participant’s principal location of employment for purposes hereof); (II) a material diminution in the Participant’s base compensation; (III) a change in the Participant’s position with the Company or its successor or applicable subsidiary thereof without the Participant’s consent such that there is a material diminution in the Participant’s authority, duties or responsibilities; or (IV) any other action or inaction that constitutes a material breach by the Company or its successor or the applicable subsidiary thereof of the agreement, if any, under which the Participant provides services to the Company or its successor or the applicable subsidiary thereof. Notwithstanding the foregoing, the Participant’s termination of Continuous Service as a result of the occurrence of any of the foregoing shall not constitute “Good Reason” unless (X) the Participant gives the Company or its successor written notice of such occurrence within 90 days of such occurrence and such occurrence is not cured by the Company or its successor within 30 days of the date on which such written notice is received by the Company or its successor and (Y) the Participant actually terminates his or her Continuous Service with the Company or its successor prior to the 365th day following such occurrence.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    [</w:t>
      </w:r>
      <w:r>
        <w:rPr>
          <w:rFonts w:ascii="Times New Roman;serif" w:hAnsi="Times New Roman;serif"/>
          <w:b w:val="false"/>
          <w:i/>
          <w:color w:val="000000"/>
          <w:sz w:val="22"/>
        </w:rPr>
        <w:t>Add applicable provision below (if any) or remove this sub-section</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Section 4(a)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4(d)</w:t>
      </w:r>
      <w:r>
        <w:rPr>
          <w:color w:val="000000"/>
        </w:rPr>
        <w:t xml:space="preserve"> </w:t>
      </w:r>
      <w:r>
        <w:rPr>
          <w:rFonts w:ascii="Times New Roman;serif" w:hAnsi="Times New Roman;serif"/>
          <w:b w:val="false"/>
          <w:color w:val="000000"/>
          <w:sz w:val="22"/>
        </w:rPr>
        <w:t>above, if the Participant’s Continuous Service is terminated either by the Company without Cause or by the Participant for Good Reason prior to the end of the Performance Period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PSUs have not previously been forfeited or become nonforfeitable at such time), then (notwithstanding anything in the Management Objectives to the contrary): (A) the PSUs will continue to be eligible to become nonforfeitable (and payable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hereof) as if the Participant remained in Continuous Service until the end of the Performance Period (or the consummation of the Change in Control, if applicable); and (B) if applicable, the Earned PSU will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as of immediately prior to the consummation of the Change in Control.]</w:t>
      </w:r>
      <w:r>
        <w:rPr>
          <w:rFonts w:ascii="Times New Roman;serif" w:hAnsi="Times New Roman;serif"/>
          <w:b w:val="false"/>
          <w:color w:val="000000"/>
          <w:sz w:val="14"/>
        </w:rPr>
        <w:t>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Section 4(a)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4(d)</w:t>
      </w:r>
      <w:r>
        <w:rPr>
          <w:color w:val="000000"/>
        </w:rPr>
        <w:t xml:space="preserve"> </w:t>
      </w:r>
      <w:r>
        <w:rPr>
          <w:rFonts w:ascii="Times New Roman;serif" w:hAnsi="Times New Roman;serif"/>
          <w:b w:val="false"/>
          <w:color w:val="000000"/>
          <w:sz w:val="22"/>
        </w:rPr>
        <w:t>above, if the Participant voluntarily terminates his Continuous Service after March 31, 2027, but prior to the end of the Performance Period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PSUs have not previously been forfeited or become nonforfeitable at such time), then (notwithstanding anything in the Management Objectives to the contrary): (A) the PSUs will continue to be eligible to become nonforfeitable (and payable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hereof) as if the Participant remained in Continuous Service until the end of the Performance Period (or the consummation of the Change in Control, if applicable), (B) the Earned PSUs will be determined by the Committee in accordance with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4(d)</w:t>
      </w:r>
      <w:r>
        <w:rPr>
          <w:color w:val="000000"/>
        </w:rPr>
        <w:t xml:space="preserve"> </w:t>
      </w:r>
      <w:r>
        <w:rPr>
          <w:rFonts w:ascii="Times New Roman;serif" w:hAnsi="Times New Roman;serif"/>
          <w:b w:val="false"/>
          <w:color w:val="000000"/>
          <w:sz w:val="22"/>
        </w:rPr>
        <w:t xml:space="preserve">above, except that the resulting number of Earned PSUs will be multiplied by a fraction (the numerator of which will be the number of full months of the Participant’s Continuous Service during the Performance Period (which will be deemed to end on the CIC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Note to Draft For CEO.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Measurement Date, if applicable) and the denominator of which will be the number of months in the Performance Period (which will be deemed to end on the CIC Measurement Date, if applicable)) and rounded to the nearest whole number of units; and (C) if applicable, the Earned PSU will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as of immediately prior to the consummation of the Change in Control.]</w:t>
      </w:r>
      <w:r>
        <w:rPr>
          <w:rFonts w:ascii="Times New Roman;serif" w:hAnsi="Times New Roman;serif"/>
          <w:b w:val="false"/>
          <w:color w:val="000000"/>
          <w:sz w:val="14"/>
        </w:rPr>
        <w:t>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above, if the Company sells the “Harsco Rail” business prior to entering into an agreement to sell the “Harsco Environmental” business (each, as determined by the Committee) (</w:t>
      </w:r>
      <w:r>
        <w:rPr>
          <w:rFonts w:ascii="Times New Roman;serif" w:hAnsi="Times New Roman;serif"/>
          <w:b w:val="false"/>
          <w:i/>
          <w:color w:val="000000"/>
          <w:sz w:val="22"/>
        </w:rPr>
        <w:t>provided</w:t>
      </w:r>
      <w:r>
        <w:rPr>
          <w:rFonts w:ascii="Times New Roman;serif" w:hAnsi="Times New Roman;serif"/>
          <w:b w:val="false"/>
          <w:color w:val="000000"/>
          <w:sz w:val="22"/>
        </w:rPr>
        <w:t>, that the PSUs have not previously been forfeited or become nonforfeitable at such time), then (notwithstanding anything in the Management Objectives to the contrary): (A) the Performance Period will be deemed to end no fewer than three trading days prior to the date of the Company’s sale of the “Harsco Rail” business (the “</w:t>
      </w:r>
      <w:r>
        <w:rPr>
          <w:rFonts w:ascii="Times New Roman;serif" w:hAnsi="Times New Roman;serif"/>
          <w:b/>
          <w:color w:val="000000"/>
          <w:sz w:val="22"/>
        </w:rPr>
        <w:t>Rail Measurement Date</w:t>
      </w:r>
      <w:r>
        <w:rPr>
          <w:color w:val="000000"/>
        </w:rPr>
        <w:t>”</w:t>
      </w:r>
      <w:r>
        <w:rPr>
          <w:rFonts w:ascii="Times New Roman;serif" w:hAnsi="Times New Roman;serif"/>
          <w:b w:val="false"/>
          <w:color w:val="000000"/>
          <w:sz w:val="22"/>
        </w:rPr>
        <w:t xml:space="preserve">); (B) the Earned PSUs will be determined by the Committee based on the greater of (I) 100% of the PSUs or (II) the number of PSUs that would be earned by the Participant if achievement of the Management Objectives was determined based on the Stock Price for the 90 calendar days immediately preceding the Rail Measurement Date; and (C) the Earned PSU will become nonforfeitable and payable to the Participant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as of the closing date of the Company’s sale of the “Harsco Rail” business contingent upon the Participant remaining in Continuous Service through such date.]</w:t>
      </w:r>
      <w:r>
        <w:rPr>
          <w:rFonts w:ascii="Times New Roman;serif" w:hAnsi="Times New Roman;serif"/>
          <w:b w:val="false"/>
          <w:color w:val="000000"/>
          <w:sz w:val="14"/>
        </w:rPr>
        <w:t>3</w:t>
      </w:r>
    </w:p>
    <w:p>
      <w:pPr>
        <w:pStyle w:val="TextBody"/>
        <w:bidi w:val="0"/>
        <w:spacing w:before="0" w:after="2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(f)    The PSUs shall be forfeited to the extent they fail to become nonforfeitable as of the Committee Determination Date and, except as otherwise provided in this </w:t>
      </w:r>
      <w:r>
        <w:rPr>
          <w:rFonts w:ascii="Times New Roman;serif" w:hAnsi="Times New Roman;serif"/>
          <w:b w:val="false"/>
          <w:color w:val="000000"/>
          <w:sz w:val="22"/>
          <w:u w:val="single"/>
        </w:rPr>
        <w:t>Section 4</w:t>
      </w:r>
      <w:r>
        <w:rPr>
          <w:rFonts w:ascii="Times New Roman;serif" w:hAnsi="Times New Roman;serif"/>
          <w:b w:val="false"/>
          <w:color w:val="000000"/>
          <w:sz w:val="22"/>
        </w:rPr>
        <w:t xml:space="preserve">, if the Participant’s Continuous Service ceases at any time prior to such PSUs becoming nonforfeitable, or to the extent they are forfeited under </w:t>
      </w:r>
      <w:r>
        <w:rPr>
          <w:rFonts w:ascii="Times New Roman;serif" w:hAnsi="Times New Roman;serif"/>
          <w:b w:val="false"/>
          <w:color w:val="000000"/>
          <w:sz w:val="22"/>
          <w:u w:val="single"/>
        </w:rPr>
        <w:t>Section 16</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Form and Time of Payment of PSUs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Payment for the PSUs, after and to the extent they have become nonforfeitable, shall be made in the form of shares of Common Stock (or cash, in the case of a cash-settled Replacement Award). Except as provided in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5(c)</w:t>
      </w:r>
      <w:r>
        <w:rPr>
          <w:rFonts w:ascii="Times New Roman;serif" w:hAnsi="Times New Roman;serif"/>
          <w:b w:val="false"/>
          <w:color w:val="000000"/>
          <w:sz w:val="22"/>
        </w:rPr>
        <w:t xml:space="preserve">, payment shall be made within 10 days following the date that the PSUs become nonforfeitable pursuant to </w:t>
      </w:r>
      <w:r>
        <w:rPr>
          <w:rFonts w:ascii="Times New Roman;serif" w:hAnsi="Times New Roman;serif"/>
          <w:b w:val="false"/>
          <w:color w:val="000000"/>
          <w:sz w:val="22"/>
          <w:u w:val="single"/>
        </w:rPr>
        <w:t>Section 4</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If the Participant is deemed by the Company at the time of the Participant’s “separation from service” (as such term is defined in Treasury Regulations Section 1.409A-1(h) without regard to any alternative definition thereunder) with the Company to be a “specified employee” for purposes of Section 409A(a)(2)(B)(i) of the Code, and if any of the payments upon such separation from service set forth herein are deemed to be “deferred compensation” within the meaning of Section 409A of the Code, then to the extent delayed commencement of any portion of such payments is required to avoid a prohibited distribution under Section 409A(a)(2)(B)(i) of the Code and the related adverse taxation under Section 409A of the Code, such payments will not be provided to the Participant prior to the earliest of (i) the date that is six months and one day after the date of such separation from service, (ii) the date of the Participant’s death, or (iii) such earlier date as permitted under Section 409A of the Code without the</w:t>
      </w:r>
      <w:r>
        <w:rPr>
          <w:color w:val="000000"/>
        </w:rPr>
        <w:t xml:space="preserve"> </w:t>
      </w:r>
      <w:r>
        <w:rPr>
          <w:rFonts w:ascii="Times New Roman;serif" w:hAnsi="Times New Roman;serif"/>
          <w:b w:val="false"/>
          <w:color w:val="000000"/>
          <w:sz w:val="22"/>
        </w:rPr>
        <w:t xml:space="preserve">imposition of adverse taxation. Upon the first business day following the expiration of such period, all payments deferred pursuant to this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will be paid in a lump sum to the Participant, and any remaining payments due will be paid as otherwise provided herein.</w:t>
      </w:r>
    </w:p>
    <w:p>
      <w:pPr>
        <w:pStyle w:val="TextBody"/>
        <w:bidi w:val="0"/>
        <w:spacing w:before="0" w:after="240"/>
        <w:ind w:left="0" w:right="0" w:firstLine="144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Note to Draft For CFO. </w:t>
      </w:r>
    </w:p>
    <w:p>
      <w:pPr>
        <w:pStyle w:val="TextBody"/>
        <w:bidi w:val="0"/>
        <w:spacing w:lineRule="auto" w:line="288"/>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Note to Draft For Rail employees.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10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Company’s obligations to the Participant with respect to the PSUs will be satisfied in full upon the issuance of Common Stock corresponding to such PSUs.</w:t>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Voting and Other Rights; Dividend Equivalents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Participant shall have no rights of ownership in the Common Stock underlying the PSUs and no right to vote the Common Stock underlying the PSUs until the date on which the shares of Common Stock underlying the PSUs are issued or transferred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From and after the Date of Grant and until the earlier of (i) the time when the PSUs become nonforfeitable and are paid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or (ii) the time when the Participant’s right to receive Common Stock in payment of the PSUs is forfeited in accordance with </w:t>
      </w:r>
      <w:r>
        <w:rPr>
          <w:rFonts w:ascii="Times New Roman;serif" w:hAnsi="Times New Roman;serif"/>
          <w:b w:val="false"/>
          <w:color w:val="000000"/>
          <w:sz w:val="22"/>
          <w:u w:val="single"/>
        </w:rPr>
        <w:t>Section 4</w:t>
      </w:r>
      <w:r>
        <w:rPr>
          <w:rFonts w:ascii="Times New Roman;serif" w:hAnsi="Times New Roman;serif"/>
          <w:b w:val="false"/>
          <w:color w:val="000000"/>
          <w:sz w:val="22"/>
        </w:rPr>
        <w:t>, on the date that the Company pays a cash dividend (if any) to holders of Common Stock generally, the Participant shall become entitled to receive (subject to the following sentence) a number of additional whole PSUs determined by dividing (x) the product of (1) the dollar amount of the cash dividend paid per share of Common Stock on such date and (2) the total number of PSUs (including dividend equivalents) previously credited to the Participant as of such date, by (y) the Fair Market Value on such date. Such dividend equivalents (if any) shall be subject to the same terms and conditions and shall be paid or forfeited in the same manner and at the same time as the PSUs to which the dividend equivalents were credited.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obligations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Adjustments</w:t>
      </w:r>
      <w:r>
        <w:rPr>
          <w:rFonts w:ascii="Times New Roman;serif" w:hAnsi="Times New Roman;serif"/>
          <w:b w:val="false"/>
          <w:color w:val="000000"/>
          <w:sz w:val="22"/>
        </w:rPr>
        <w:t>. The PSUs and their terms under this Agreement are subject to mandatory adjustment under the terms of Section 14 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Compliance With Applicable Laws</w:t>
      </w:r>
      <w:r>
        <w:rPr>
          <w:rFonts w:ascii="Times New Roman;serif" w:hAnsi="Times New Roman;serif"/>
          <w:b w:val="false"/>
          <w:color w:val="000000"/>
          <w:sz w:val="22"/>
        </w:rPr>
        <w:t>. The Company shall make reasonable efforts to comply with all Applicable Laws; provided, however, that notwithstanding any other provision of the Plan and this Agreement, the Company shall not be obligated to issue any Common Stock pursuant to this Agreement if the issuance thereof would result in a violation of any Applicable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w:t>
      </w:r>
    </w:p>
    <w:p>
      <w:pPr>
        <w:pStyle w:val="TextBody"/>
        <w:bidi w:val="0"/>
        <w:spacing w:before="0" w:after="24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Withholding Obligations</w:t>
      </w:r>
      <w:r>
        <w:rPr>
          <w:rFonts w:ascii="Times New Roman;serif" w:hAnsi="Times New Roman;serif"/>
          <w:b w:val="false"/>
          <w:color w:val="000000"/>
          <w:sz w:val="22"/>
        </w:rPr>
        <w:t xml:space="preserve">. The Company and its Affiliates may withhold from any payment of cash or distribution of shares of Common Stock or other property to the Participant under this Agreement an amount or number of shares sufficient to cover any required tax withholding with respect to such payment, including up to the maximum allowable withholding, or may take such other action as the Company deems necessary to satisfy any income or other tax withholding requirements arising as a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result of the grant or settlement of the PSUs. The Company and its Affiliates may, as a condition to any payment pursuant to this Agreement, require the payment of any such taxes and require that the Participant furnish any information necessary to meet any applicable tax reporting obligation.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Any reference in this Agreement to Section 409A of the Code will also include any proposed, temporary or final regulations, or any other guidance, promulgated with respect to such Section by the U.S. Department of the Treasury or the Internal Revenue Service. Except as expressly provided in this Agreement, capitalized terms used herein will have the meaning ascribed to such terms in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No Employment Rights</w:t>
      </w:r>
      <w:r>
        <w:rPr>
          <w:rFonts w:ascii="Times New Roman;serif" w:hAnsi="Times New Roman;serif"/>
          <w:b w:val="false"/>
          <w:color w:val="000000"/>
          <w:sz w:val="22"/>
        </w:rPr>
        <w:t>. The grant of the PSUs under this Agreement to the Participant is a voluntary, discretionary award being made on a one-time basis and it does not constitute a commitment to make any future awards. The grant of the PSUs and any payments made hereunder will not be considered salary or other compensation for purposes of any severance pay or similar allowance, except as otherwise required by law. Nothing contained in this Agreement shall confer upon the Participant any right to be employed or remain employed by the Company or any of its Subsidiaries, nor limit or affect in any manner the right of the Company or any of its Subsidiaries to terminate the employment or adjust the compensation of the Participant.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Relation to Other Benefits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Any economic or other benefit to the Participant under this Agreement or the Plan shall not be taken into account in determining any benefits to which the Participant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Amendments</w:t>
      </w:r>
      <w:r>
        <w:rPr>
          <w:rFonts w:ascii="Times New Roman;serif" w:hAnsi="Times New Roman;serif"/>
          <w:b w:val="false"/>
          <w:color w:val="000000"/>
          <w:sz w:val="22"/>
        </w:rPr>
        <w:t xml:space="preserve">. Any amendment to the Plan shall be deemed to be an amendment to this Agreement to the extent that the amendment is applicable hereto; provided, however, that no amendment shall materially impair the rights of the Participant under this Agreement without the Participant’s written consent.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Relation to Plan</w:t>
      </w:r>
      <w:r>
        <w:rPr>
          <w:rFonts w:ascii="Times New Roman;serif" w:hAnsi="Times New Roman;serif"/>
          <w:b w:val="false"/>
          <w:color w:val="000000"/>
          <w:sz w:val="22"/>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In addition, the PSUs shall be subject to the terms and conditions of the Company’s Incentive Compensation Recoupment Policy in effect on the Date of Grant as if such PSUs were “Incentive-Based Compensation” (as such term is defined in such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rFonts w:ascii="Times New Roman;serif" w:hAnsi="Times New Roman;serif"/>
          <w:b w:val="false"/>
          <w:color w:val="000000"/>
          <w:sz w:val="22"/>
        </w:rPr>
        <w:t>, the provisions of this Agreement shall inure to the benefit of, and be binding upon, the successors, administrators, heirs, legal representatives and assigns of the Participant, and the successors and assigns of the Company.</w:t>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Governing Law</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Except as provided in </w:t>
      </w:r>
      <w:r>
        <w:rPr>
          <w:rFonts w:ascii="Times New Roman;serif" w:hAnsi="Times New Roman;serif"/>
          <w:b w:val="false"/>
          <w:color w:val="000000"/>
          <w:sz w:val="22"/>
          <w:u w:val="single"/>
        </w:rPr>
        <w:t>Exhibits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B</w:t>
      </w:r>
      <w:r>
        <w:rPr>
          <w:rFonts w:ascii="Times New Roman;serif" w:hAnsi="Times New Roman;serif"/>
          <w:b w:val="false"/>
          <w:color w:val="000000"/>
          <w:sz w:val="22"/>
        </w:rPr>
        <w:t>, this Agreement will be construed under the laws of the State of Delaware, without regard to its conflict of law provisions, and the parties consent and agree that the federal and state courts located in the State of Delaware will have exclusive jurisdiction over any dispute relating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Acknowledgement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Participant acknowledges that the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Counterparts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 Agreement may be executed in one or more counterparts, each of which shall be deemed to be an original but all of which together will constitute one and the same agreement.</w:t>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Company has caused this Agreement to be executed on its behalf by its duly authorized officer and the Participant has executed this Agreement, effective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undersigned hereby acknowledges receipt of an executed version of this Agreement and accepts the award of PSUs granted hereunder on the terms and conditions set forth herein and in the Plan (including the terms of the Restrictive Covenants Agreement, attached hereto as </w:t>
      </w:r>
      <w:r>
        <w:rPr>
          <w:rFonts w:ascii="Times New Roman;serif" w:hAnsi="Times New Roman;serif"/>
          <w:b w:val="false"/>
          <w:color w:val="000000"/>
          <w:sz w:val="22"/>
          <w:u w:val="single"/>
        </w:rPr>
        <w:t>Exhibits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A-1</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RESTRICTIVE COVENANTS AGREEMENT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Grant</w:t>
      </w:r>
      <w:r>
        <w:rPr>
          <w:rFonts w:ascii="Times New Roman;serif" w:hAnsi="Times New Roman;serif"/>
          <w:b w:val="false"/>
          <w:color w:val="000000"/>
          <w:sz w:val="22"/>
        </w:rPr>
        <w:t>. Participant acknowledges that Participant has access to the confidential and proprietary trade secret information of Enviri Corporation, including its subsidiaries, joint ventures, and operating divisions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as further described below (“</w:t>
      </w:r>
      <w:r>
        <w:rPr>
          <w:rFonts w:ascii="Times New Roman;serif" w:hAnsi="Times New Roman;serif"/>
          <w:b/>
          <w:color w:val="000000"/>
          <w:sz w:val="22"/>
        </w:rPr>
        <w:t>Confidential/Proprietary Trade Secret Information</w:t>
      </w:r>
      <w:r>
        <w:rPr>
          <w:color w:val="000000"/>
        </w:rPr>
        <w:t>”</w:t>
      </w:r>
      <w:r>
        <w:rPr>
          <w:rFonts w:ascii="Times New Roman;serif" w:hAnsi="Times New Roman;serif"/>
          <w:b w:val="false"/>
          <w:color w:val="000000"/>
          <w:sz w:val="22"/>
        </w:rPr>
        <w:t>). Further, Participant acknowledges that Participant derives significant value from the Company and from the Confidential/Proprietary Trade Secret Information provided during the term of employment with the Company, which enables Participant to optimize the performance of the Company’s performance and Participant’s own personal, professional, and financial benefit. In consideration of the grant described in the award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to which these terms, conditions and provisions (the “</w:t>
      </w:r>
      <w:r>
        <w:rPr>
          <w:rFonts w:ascii="Times New Roman;serif" w:hAnsi="Times New Roman;serif"/>
          <w:b/>
          <w:color w:val="000000"/>
          <w:sz w:val="22"/>
        </w:rPr>
        <w:t>Restrictive Covenants Agreement</w:t>
      </w:r>
      <w:r>
        <w:rPr>
          <w:color w:val="000000"/>
        </w:rPr>
        <w:t>”</w:t>
      </w:r>
      <w:r>
        <w:rPr>
          <w:rFonts w:ascii="Times New Roman;serif" w:hAnsi="Times New Roman;serif"/>
          <w:b w:val="false"/>
          <w:color w:val="000000"/>
          <w:sz w:val="22"/>
        </w:rPr>
        <w:t xml:space="preserve">) are attached as an exhibit, Participant agrees to the terms of this Restrictive Covenants Agreement.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2.    Except as provided in the State-Specific Modifications in Exhibit A-1, during Participant’s employment by the Company, and for a period of twelve (12) months after the cessation of such employment for any reason (both such periods collectively referred to as the “</w:t>
      </w:r>
      <w:r>
        <w:rPr>
          <w:rFonts w:ascii="Times New Roman;serif" w:hAnsi="Times New Roman;serif"/>
          <w:b/>
          <w:color w:val="000000"/>
          <w:sz w:val="22"/>
        </w:rPr>
        <w:t>Restricted Period</w:t>
      </w:r>
      <w:r>
        <w:rPr>
          <w:color w:val="000000"/>
        </w:rPr>
        <w:t>”</w:t>
      </w:r>
      <w:r>
        <w:rPr>
          <w:rFonts w:ascii="Times New Roman;serif" w:hAnsi="Times New Roman;serif"/>
          <w:b w:val="false"/>
          <w:color w:val="000000"/>
          <w:sz w:val="22"/>
        </w:rPr>
        <w:t>), Participant will not, directly or indirectly, engage in any of the following competitive activities: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For Participant or on behalf of any other corporation, business, partnership, limited liability company, unincorporated association, enterprise, or other entity, directly or indirectly solicit, divert, contract with, or attempt to solicit, divert, or contract with,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w:t>
      </w:r>
      <w:r>
        <w:rPr>
          <w:rFonts w:ascii="Times New Roman;serif" w:hAnsi="Times New Roman;serif"/>
          <w:b/>
          <w:color w:val="000000"/>
          <w:sz w:val="22"/>
        </w:rPr>
        <w:t>Material Contact</w:t>
      </w:r>
      <w:r>
        <w:rPr>
          <w:color w:val="000000"/>
        </w:rPr>
        <w:t xml:space="preserve">” </w:t>
      </w:r>
      <w:r>
        <w:rPr>
          <w:rFonts w:ascii="Times New Roman;serif" w:hAnsi="Times New Roman;serif"/>
          <w:b w:val="false"/>
          <w:color w:val="000000"/>
          <w:sz w:val="22"/>
        </w:rPr>
        <w:t>with a customer if: (i) Participant had business dealings with the customer on the Company’s behalf; (ii) Participant was responsible for supervising or coordinating the dealings between the Company and the customer; or (iii) Participant obtained Confidential/Proprietary</w:t>
      </w:r>
      <w:r>
        <w:rPr>
          <w:color w:val="000000"/>
        </w:rPr>
        <w:t xml:space="preserve"> </w:t>
      </w:r>
      <w:r>
        <w:rPr>
          <w:rFonts w:ascii="Times New Roman;serif" w:hAnsi="Times New Roman;serif"/>
          <w:b w:val="false"/>
          <w:color w:val="000000"/>
          <w:sz w:val="22"/>
        </w:rPr>
        <w:t>Trade Secret Information about the customer as a result of Participant’s association with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Within the geographic territory where Participant was employed by the Company, about which Participant obtained knowledge of Confidential/Proprietary Trade Secret Information, or where Participant had Material Contact with the Company’s customers (the “</w:t>
      </w:r>
      <w:r>
        <w:rPr>
          <w:rFonts w:ascii="Times New Roman;serif" w:hAnsi="Times New Roman;serif"/>
          <w:b/>
          <w:color w:val="000000"/>
          <w:sz w:val="22"/>
        </w:rPr>
        <w:t>Restricted Area</w:t>
      </w:r>
      <w:r>
        <w:rPr>
          <w:color w:val="000000"/>
        </w:rPr>
        <w:t>”</w:t>
      </w:r>
      <w:r>
        <w:rPr>
          <w:rFonts w:ascii="Times New Roman;serif" w:hAnsi="Times New Roman;serif"/>
          <w:b w:val="false"/>
          <w:color w:val="000000"/>
          <w:sz w:val="22"/>
        </w:rPr>
        <w:t>): (i) render to any Competitor any services that are the same as, similar to, or competitive with the services that Participant provided to the Company; or (ii) otherwise become employed by or otherwise render services to (as a director, employee, contractor or consultant) or have any ownership interest in any Competitor. “</w:t>
      </w:r>
      <w:r>
        <w:rPr>
          <w:rFonts w:ascii="Times New Roman;serif" w:hAnsi="Times New Roman;serif"/>
          <w:b/>
          <w:color w:val="000000"/>
          <w:sz w:val="22"/>
        </w:rPr>
        <w:t>Competitor</w:t>
      </w:r>
      <w:r>
        <w:rPr>
          <w:rFonts w:ascii="Times New Roman;serif" w:hAnsi="Times New Roman;serif"/>
          <w:b w:val="false"/>
          <w:color w:val="000000"/>
          <w:sz w:val="22"/>
        </w:rPr>
        <w:t>,” for purposes of this Restrictive Covenants Agreement means any business which is engaged in offering the same or similar products or services as, or otherwise competes with those manufactured, designed, offered, or sold by the Company, including its subsidiaries and operating unit(s) with which Participant was employed or in any way involved during the last twelve (12) months of employment with the Company; or</w:t>
      </w:r>
    </w:p>
    <w:p>
      <w:pPr>
        <w:pStyle w:val="TextBody"/>
        <w:bidi w:val="0"/>
        <w:spacing w:before="0" w:after="24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(i) induce, offer, assist, encourage or suggest that another corporation, business, partnership, limited liability company, unincorporated association, enterprise, or other entity offer employment to or enter into a consulting arrangement with any employee, agent or representative of the Company or (ii) solicit, induce, offer, assist, encourage or suggest that any employee, agent or representative of the Company terminate his or her employment or business affiliation with the Company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 accept employment with any other corporation, business, partnership, limited liability company, unincorporated association, enterprise, or other entity.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Confidential/Proprietary Trade Secret Information</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Participant agrees to keep secret and confidential all Confidential/Proprietary Trade Secret Information (further described below) acquired by Participant while employed by the Company or concerning the business and affairs of the Company, its vendors, its customers, and its affiliates (whether of a business, commercial or technological nature), and further agrees that Participant will not disclose any such Confidential/Proprietary Trade Secret Information so acquired to any individual, partner, company, firm, corporation or other person or use the same in any manner other than in connection with the business and affairs of the Company and its affiliates. Except in the performance of services for the Company, the Participant will not, for so long as the Confidential/Proprietary Trade Secret Information remains so designated under applicable law, use, disclose, reproduce, distribute, transmit, reverse engineer, decompile, disassemble, or transfer the Confidential/Proprietary Trade Secret Information or any portion thereof.</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(ii)    For purposes of this Restrictive Covenants Agreement, “</w:t>
      </w:r>
      <w:r>
        <w:rPr>
          <w:rFonts w:ascii="Times New Roman;serif" w:hAnsi="Times New Roman;serif"/>
          <w:b/>
          <w:color w:val="000000"/>
          <w:sz w:val="22"/>
        </w:rPr>
        <w:t>Confidential/Proprietary Trade Secret Information</w:t>
      </w:r>
      <w:r>
        <w:rPr>
          <w:color w:val="000000"/>
        </w:rPr>
        <w:t xml:space="preserve">” </w:t>
      </w:r>
      <w:r>
        <w:rPr>
          <w:rFonts w:ascii="Times New Roman;serif" w:hAnsi="Times New Roman;serif"/>
          <w:b w:val="false"/>
          <w:color w:val="000000"/>
          <w:sz w:val="22"/>
        </w:rPr>
        <w:t>includes all information of a confidential or proprietary nature that relates to the business, products, services, research or development of the Company, and its affiliates or their respective suppliers, distributors, customers, independent contractors or other business relations. Confidential/Proprietary Trade Secret Information also includes, but is not limited to, the following: (A) internal business information (including information relating to strategic and staffing plans and practices, business, training, financial, marketing,</w:t>
      </w:r>
      <w:r>
        <w:rPr>
          <w:color w:val="000000"/>
        </w:rPr>
        <w:t xml:space="preserve"> </w:t>
      </w:r>
      <w:r>
        <w:rPr>
          <w:rFonts w:ascii="Times New Roman;serif" w:hAnsi="Times New Roman;serif"/>
          <w:b w:val="false"/>
          <w:color w:val="000000"/>
          <w:sz w:val="22"/>
        </w:rPr>
        <w:t>promotional and sales plans and practices, cost, rate and pricing structures, accounting and business methods and customer and supplier lists); (B) identities of, individual requirements of, specific contractual arrangements with and information about, the Company’s suppliers, distributors, customers, independent contractors or other business relations and their confidential information; (C) customer usage, volume, and discount information; (D) trade secrets, copyrightable works and other confidential information (including ideas, formulas, recipes, compositions, inventions, innovations, improvements, developments, methods, know-how, manufacturing and production processes and techniques, research and development information, compilations of data and analyses, data and databases relating thereto, techniques, systems, records, manuals, documentation, models, drawings, specifications, designs, plans, proposals, reports and all similar or related information whether patentable or unpatentable and whether or not reduced to practice); (D) other intellectual property rights of the Company, or any of its affiliates; and (E) any other information that would constitute a trade secret under the Pennsylvania Uniform Trade Secrets Act, as amended from time to time (or any successor law). The term “Confidential/Proprietary Trade Secret Information” also includes any information or data described above which the Company obtains from another party and which the Company treats as proprietary or designates as trade secrets, whether or not owned or developed by the Company.</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All documents and materials supplied to Participant or developed by Participant in the course of, or as a result of Participant’s employment at the Company, and all Company Confidential/Proprietary Trade Secret Information, whether in hard copy, electronic format or otherwise shall be the sole property of the Company. Participant will at any time upon the request of the Company and in any event promptly upon termination of Participant’s employment or relationship with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but in any event no later than five (5) business days after such termination, deliver all such materials to the Company and will not retain any originals or copies of such materials, whether in hard copy form or as computerized and/or electronic records. Except to the extent approved by the Company or required by Participant’s bona fide job duties for the Company, the Participant also agrees that Participant will not copy or remove from the Company’s place of business or the place of business of a customer of the Company, property or information belonging to the Company or the customer or entrusted to the Company or the customer. In addition, the Participant agrees that Participant will not provide any such materials to any competitor of or any person or entity seeking to compete with the Company unless specifically approved in writing by the Company. Notwithstanding anything in paragraph 2(d)(3) of this Restrictive Covenants Agreement to the contrary, if the Company needs to take legal action to secure such return delivery of such materials, Participant shall be responsible for all legal fees, costs and expenses incurred by the Company in doing so.</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(iv)    Participant understands that nothing contained in this Restrictive Covenants Agreement limits Participant’s ability to file a charge or complaint with any federal, state or local governmental agency or commission (“</w:t>
      </w:r>
      <w:r>
        <w:rPr>
          <w:rFonts w:ascii="Times New Roman;serif" w:hAnsi="Times New Roman;serif"/>
          <w:b/>
          <w:color w:val="000000"/>
          <w:sz w:val="22"/>
        </w:rPr>
        <w:t>Government Agencies</w:t>
      </w:r>
      <w:r>
        <w:rPr>
          <w:color w:val="000000"/>
        </w:rPr>
        <w:t>”</w:t>
      </w:r>
      <w:r>
        <w:rPr>
          <w:rFonts w:ascii="Times New Roman;serif" w:hAnsi="Times New Roman;serif"/>
          <w:b w:val="false"/>
          <w:color w:val="000000"/>
          <w:sz w:val="22"/>
        </w:rPr>
        <w:t xml:space="preserve">). Participant further understands that this Restrictive Covenants Agreement does not limit Participant’s ability to communicate with any Government Agencies or otherwise participate in any investigation or proceeding that may be commenced by any Government Agency including providing documents or other information without notice to the Company. This Restrictive Covenants Agreement does not limit the Participant’s right to receive an award for information provided to any Government Agencies.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    Nothing in this Restrictive Covenants Agreement is intended to or shall be interpreted to prohibit disclosure of information to the limited extent permitted by and in accordance with the federal Defend Trade Secrets Act of 2016 (“DTSA”). Stated otherwise, disclosures that are protected by the DTSA as follows do not violate this Agreement. The DTSA provides that: “(1) An individual shall not be held criminally or civilly liable under any Federal or State trade secret law for the disclosure of a trade secret that – (A) is made – (i) in confident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DTSA further provides that: “(2) An individual who files a lawsuit for retaliation by an employer for reporting a suspected violation of law may disclose the trade secret to the attorney of the individual and use the trade secret information in the court proceeding, if the individual – (A) files any document containing the trade secret under seal; and (B) does not disclose the trade secret, except pursuant to court order.”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Nothing in this Restrictive Covenants Agreement, however, waives or authorizes Participant to waive or disclose any attorney work product, attorney-client privilege, or other legal privilege of the Company.</w:t>
      </w:r>
    </w:p>
    <w:p>
      <w:pPr>
        <w:pStyle w:val="TextBody"/>
        <w:bidi w:val="0"/>
        <w:spacing w:before="0" w:after="24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Subsequent Employment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Advise the Company of New Employment</w:t>
      </w:r>
      <w:r>
        <w:rPr>
          <w:rFonts w:ascii="Times New Roman;serif" w:hAnsi="Times New Roman;serif"/>
          <w:b w:val="false"/>
          <w:color w:val="000000"/>
          <w:sz w:val="22"/>
        </w:rPr>
        <w:t xml:space="preserve">. In the event of a cessation of Participant’s employment with the Company, and during the Restricted Period described in paragraph 2 above, Participant agrees to disclose to the Company the name and address of any new employer or business affiliation and Participant’s anticipated position within ten (10) calendar days of Participant accepting and, in all events before starting, such position. In the event that Participant fails to notify the Company of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such new employment or business affiliation as required above, the Restricted Period will be extended by a period equal to the period of nondisclosure.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Participant’s Ability to Earn Livelihood</w:t>
      </w:r>
      <w:r>
        <w:rPr>
          <w:rFonts w:ascii="Times New Roman;serif" w:hAnsi="Times New Roman;serif"/>
          <w:b w:val="false"/>
          <w:color w:val="000000"/>
          <w:sz w:val="22"/>
        </w:rPr>
        <w:t>. Participant acknowledges that, in the event of a cessation of Participant’s employment with the Company, for any reason and at any time, the provisions of this Restrictive Covenants Agreement, including paragraph 2, will not unreasonably restrict Participant’s ability to earn a living. Participant and the Company acknowledge that Participant’s rights have been limited by this Restrictive Covenants Agreement only to the extent reasonably necessary to protect the legitimate interests of the Company in its Confidential/Proprietary Trade Secret Information.</w:t>
      </w:r>
    </w:p>
    <w:p>
      <w:pPr>
        <w:pStyle w:val="TextBody"/>
        <w:bidi w:val="0"/>
        <w:spacing w:before="0" w:after="240"/>
        <w:jc w:val="left"/>
        <w:rPr/>
      </w:pPr>
      <w:r>
        <w:rPr/>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Enforcement</w:t>
      </w:r>
      <w:r>
        <w:rPr>
          <w:rFonts w:ascii="Times New Roman;serif" w:hAnsi="Times New Roman;serif"/>
          <w:b w:val="false"/>
          <w:color w:val="000000"/>
          <w:sz w:val="22"/>
        </w:rPr>
        <w:t>. Participant agrees that, if Participant violates the covenants and agreements set forth in this Restrictive Covenants Agreement, the Company would suffer irreparable harm, and that such harm to the Company may be impossible to measure in monetary damages. Accordingly, in addition to any other remedies which the Company may have at law or in equity, the Company will have the right to have all obligations, undertakings, agreements, covenants and other provisions of this Restrictive Covenants Agreement specifically performed by Participant, and the Company will have the right to obtain a temporary restraining order, special injunction, and/or temporary, preliminary and permanent injunctive relief to secure specific performance, and to prevent a breach or contemplated breach, of this Restrictive Covenants Agreement. The Company will be entitled to an accounting and repayment of all profits, compensation, remunerations or benefits which Participant or others, directly or indirectly, have realized or may realize as a result of, growing out of, or in conjunction with any violation of this Restrictive Covenants Agreement. Such remedies will be an addition to and not in limitation of any injunctive relief or other rights or remedies to which the Company is or may be entitled at law or in equity. In the event that the Company obtains any requested relief in any action brought to enforce the terms of this Restrictive Covenants Agreement through court proceedings, the Company will be entitled to reimbursement for all legal fees, costs and expenses incident to enforcement.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Severability and Reformation</w:t>
      </w:r>
      <w:r>
        <w:rPr>
          <w:rFonts w:ascii="Times New Roman;serif" w:hAnsi="Times New Roman;serif"/>
          <w:b w:val="false"/>
          <w:color w:val="000000"/>
          <w:sz w:val="22"/>
        </w:rPr>
        <w:t xml:space="preserve">. If any section, paragraph, term or provision of this Restrictive Covenants Agreement, or the application thereof, is determined by a competent court or tribunal to be overbroad, invalid or unenforceable, then the other parts of such section, paragraph, term or provision will not be affected thereby and will be given full force and effect without regard to the invalid or unenforceable portions, and the section, paragraph, term or provision of this Restrictive Covenants Agreement will be deemed modified to the extent necessary to render it valid and enforceable. The parties specifically agree that the court or other tribunal shall, and its is the desire of the parties that the court or other tribunal does, reform any such section, paragraph, term or provision to render the Restrictive Covenants Agreement and each such section, paragraph, term or provision enforceable to the maximum extent permitted by law. If the court or other tribunal determines that the section, paragraph, term or provision cannot be modified, then such section, paragraph, term or provision will be stricken from the Restrictive Covenants Agreement and severed, and the other sections, paragraphs, terms and provisions will remain in full force and effect. </w:t>
      </w:r>
    </w:p>
    <w:p>
      <w:pPr>
        <w:pStyle w:val="TextBody"/>
        <w:bidi w:val="0"/>
        <w:spacing w:before="0" w:after="240"/>
        <w:jc w:val="left"/>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Employment</w:t>
      </w:r>
      <w:r>
        <w:rPr>
          <w:rFonts w:ascii="Times New Roman;serif" w:hAnsi="Times New Roman;serif"/>
          <w:b w:val="false"/>
          <w:color w:val="000000"/>
          <w:sz w:val="22"/>
        </w:rPr>
        <w:t>.</w:t>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This Restrictive Covenants Agreement does not constitute a guarantee of employment and termination of employment will not affect the enforceability of this Restrictive Covenants Agreement.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Participant agrees that if Participant is transferred from the entity or division which was Participant’s employer at the time Participant signed this Restrictive Covenants Agreement to employment by another division or another company that is a subsidiary or affiliate of Enviri Corporation, and Participant has not entered into a superseding agreement with the new employer covering the subject matter of this Restrictive Covenants Agreement, then this Restrictive Covenants Agreement will continue in effect and the Participant’s new employer will be termed “the Company” for all purposes hereunder and will have the right to enforce this Restrictive Covenants Agreement as Participant’s employer. In the event of any subsequent transfer, Participant’s new employer will succeed to all rights under this Restrictive Covenants Agreement so long as such employer will be Enviri Corporation or one of its subsidiaries or affiliates and so long as this Restrictive Covenants Agreement has not been superseded.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contained in this Restrictive Covenants Agreement are inserted for convenience of reference only, and will not be deemed to be a part of this Restrictive Covenants Agreement for any purposes, and will not in any way define or affect the meaning, construction or scope of any of the provisions of this Restrictive Covenants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 and Forum</w:t>
      </w:r>
      <w:r>
        <w:rPr>
          <w:rFonts w:ascii="Times New Roman;serif" w:hAnsi="Times New Roman;serif"/>
          <w:b w:val="false"/>
          <w:color w:val="000000"/>
          <w:sz w:val="22"/>
        </w:rPr>
        <w:t>. Except as provided in the State-Specific Modifications on Exhibit A-1, this Restrictive Covenants Agreement will be construed under the laws of the Commonwealth of Pennsylvania, without regard to its conflict of law provisions, and the parties consent and agree that the federal and state courts of the Commonwealth of Pennsylvania will have exclusive jurisdiction over any dispute relating to this Restrictive Covenants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Supplemental Nature of this Restrictive Covenants Agreement</w:t>
      </w:r>
      <w:r>
        <w:rPr>
          <w:rFonts w:ascii="Times New Roman;serif" w:hAnsi="Times New Roman;serif"/>
          <w:b w:val="false"/>
          <w:color w:val="000000"/>
          <w:sz w:val="22"/>
        </w:rPr>
        <w:t>. The restrictions set forth in paragraph 2 of this Restrictive Covenants Agreement will be in addition to any other such restrictive covenants agreed to through separate agreements, if any, between Participant and the Company and will survive the exercise of the equity award evidenced by the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Waiver</w:t>
      </w:r>
      <w:r>
        <w:rPr>
          <w:rFonts w:ascii="Times New Roman;serif" w:hAnsi="Times New Roman;serif"/>
          <w:b w:val="false"/>
          <w:color w:val="000000"/>
          <w:sz w:val="22"/>
        </w:rPr>
        <w:t>. The failure by the Company to enforce any right or remedy available to it under this Restrictive Covenants Agreement will not be construed to be a waiver of such right or remedy with respect to any other prior, concurrent or subsequent breach or failure. No waiver of rights under this Restrictive Covenants Agreement will be effective unless made in writing with specific reference to this Restrictive Covenants Agreement.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Notification</w:t>
      </w:r>
      <w:r>
        <w:rPr>
          <w:rFonts w:ascii="Times New Roman;serif" w:hAnsi="Times New Roman;serif"/>
          <w:b w:val="false"/>
          <w:color w:val="000000"/>
          <w:sz w:val="22"/>
        </w:rPr>
        <w:t>. Participant agrees that it shall notify any potential subsequent employer or business affiliation of the terms of this Restrictive Covenants Agreement before accepting such subsequent employment or business affiliation. Without limiting the foregoing, Participant agrees that the Company may notify any third party about Participant’s obligations under this Restrictive Covenants Agreement until such time as Participant has performed all of Participant’s obligations hereunder. Upon the Company’s request, Participant agrees to provide the Company with information, including, but not limited to, supplying details of Participant’s subsequent employment, sufficient to verify that Participant has not breached, or is not breaching, any covenant in this Restrictive Covenants Agreement.</w:t>
      </w:r>
    </w:p>
    <w:p>
      <w:pPr>
        <w:pStyle w:val="TextBody"/>
        <w:bidi w:val="0"/>
        <w:spacing w:before="0" w:after="24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Tolling</w:t>
      </w:r>
      <w:r>
        <w:rPr>
          <w:rFonts w:ascii="Times New Roman;serif" w:hAnsi="Times New Roman;serif"/>
          <w:b w:val="false"/>
          <w:color w:val="000000"/>
          <w:sz w:val="22"/>
        </w:rPr>
        <w:t>. In the event that Participant violates any of the covenants set forth in this Restrictive Covenants Agreement, then the Company shall have the benefit of the full period of the covenants such that the covenants shall have the duration of the Restricted Period computed from the date Participant ceased violation of the covenants, either by order of the court or otherwise.</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Acknowledgements</w:t>
      </w:r>
      <w:r>
        <w:rPr>
          <w:rFonts w:ascii="Times New Roman;serif" w:hAnsi="Times New Roman;serif"/>
          <w:b w:val="false"/>
          <w:color w:val="000000"/>
          <w:sz w:val="22"/>
        </w:rPr>
        <w:t xml:space="preserve">. </w:t>
      </w:r>
    </w:p>
    <w:p>
      <w:pPr>
        <w:pStyle w:val="TextBody"/>
        <w:bidi w:val="0"/>
        <w:spacing w:before="0" w:after="2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Participant acknowledges and agrees that this Restrictive Covenants Agreement is in consideration of, (A) the grant evidenced by the Agreement, (B) access to Confidential/Proprietary Trade Secret Information, as required by Participant’s job duties, and (C) access to important customer relationships and the associated customer goodwill of the Company.</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Participant acknowledges that he or she has carefully read and considered the provisions of this Restrictive Covenants Agreement, and that this Restrictive Covenants Agreement is reasonable as to time and scope and activities prohibited, given the Company’s need to protect its interests and given the consideration provided to Participant in the form of the grant evidenced by the Agreement.</w:t>
      </w:r>
    </w:p>
    <w:p>
      <w:pPr>
        <w:pStyle w:val="TextBody"/>
        <w:bidi w:val="0"/>
        <w:spacing w:before="0" w:after="2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Participant acknowledges that he or she has had an opportunity to consult with an independent legal counsel of Participant’s choosing, and accept the grant contained in the Agreement on the terms set forth in this Restrictive Covenants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Participant, intending to be legally bound, agrees to the foregoing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w:t>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A-1</w:t>
        <w:br/>
        <w:t>STATE-SPECIFIC MODIFICATIONS TO RESTRICTIVE COVENANTS AGREEMENT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49"/>
        <w:gridCol w:w="350"/>
        <w:gridCol w:w="2668"/>
        <w:gridCol w:w="2668"/>
        <w:gridCol w:w="377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Minnesota</w:t>
            </w:r>
          </w:p>
        </w:tc>
        <w:tc>
          <w:tcPr>
            <w:tcW w:w="91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Participant primarily resides and works in Minnesota, the following paragraphs of the Restrictive Covenant Agreement are modified as follows: </w:t>
            </w:r>
          </w:p>
          <w:p>
            <w:pPr>
              <w:pStyle w:val="TableContents"/>
              <w:bidi w:val="0"/>
              <w:spacing w:before="0" w:after="0"/>
              <w:jc w:val="left"/>
              <w:rPr/>
            </w:pPr>
            <w:r>
              <w:rPr/>
            </w:r>
          </w:p>
          <w:p>
            <w:pPr>
              <w:pStyle w:val="TableContents"/>
              <w:bidi w:val="0"/>
              <w:spacing w:lineRule="auto" w:line="288" w:before="0" w:after="0"/>
              <w:ind w:left="0" w:right="0" w:hanging="340"/>
              <w:jc w:val="left"/>
              <w:rPr>
                <w:rFonts w:ascii="Times New Roman;serif" w:hAnsi="Times New Roman;serif"/>
                <w:b w:val="false"/>
                <w:color w:val="000000"/>
                <w:sz w:val="22"/>
              </w:rPr>
            </w:pPr>
            <w:r>
              <w:rPr>
                <w:rFonts w:ascii="Times New Roman;serif" w:hAnsi="Times New Roman;serif"/>
                <w:b w:val="false"/>
                <w:color w:val="000000"/>
                <w:sz w:val="22"/>
              </w:rPr>
              <w:t xml:space="preserve">(1) Paragraph 2(a) is stricken and replaced with the following: </w:t>
              <w:br/>
              <w:br/>
              <w:t>“(a)    For Participant or on behalf of any other corporation, business, partnership, limited liability company, unincorporated association, enterprise, or other entity, directly or indirectly solicit or attempt to solicit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“Material Contact” with a customer if: (i) Participant had business dealings with the customer on the Company’s behalf; (ii) Participant was responsible for supervising or coordinating the dealings between the Company and the customer; or (iii) Participant obtained Confidential/Proprietary Trade Secret Information about the customer as a result of Participant’s association with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Paragraph 2(b) is stricken and does not apply to Participant; and</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 The terms “Pennsylvania” and “Commonwealth of Pennsylvania” in paragraph 6(c) are replaced with “Minnesota.”.</w:t>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2"/>
        <w:gridCol w:w="283"/>
        <w:gridCol w:w="2729"/>
        <w:gridCol w:w="2729"/>
        <w:gridCol w:w="38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Virginia</w:t>
            </w:r>
          </w:p>
        </w:tc>
        <w:tc>
          <w:tcPr>
            <w:tcW w:w="93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If Participant primarily resides and works in Virginia, the following paragraphs of the Restrictive Covenant Agreement are modified as follows: </w:t>
            </w:r>
          </w:p>
          <w:p>
            <w:pPr>
              <w:pStyle w:val="TableContents"/>
              <w:bidi w:val="0"/>
              <w:spacing w:before="0" w:after="0"/>
              <w:jc w:val="left"/>
              <w:rPr/>
            </w:pPr>
            <w:r>
              <w:rPr/>
            </w:r>
          </w:p>
          <w:p>
            <w:pPr>
              <w:pStyle w:val="TableContents"/>
              <w:bidi w:val="0"/>
              <w:spacing w:lineRule="auto" w:line="288" w:before="0" w:after="0"/>
              <w:ind w:left="0" w:right="0" w:hanging="340"/>
              <w:jc w:val="left"/>
              <w:rPr>
                <w:rFonts w:ascii="Times New Roman;serif" w:hAnsi="Times New Roman;serif"/>
                <w:b w:val="false"/>
                <w:color w:val="000000"/>
                <w:sz w:val="22"/>
              </w:rPr>
            </w:pPr>
            <w:r>
              <w:rPr>
                <w:rFonts w:ascii="Times New Roman;serif" w:hAnsi="Times New Roman;serif"/>
                <w:b w:val="false"/>
                <w:color w:val="000000"/>
                <w:sz w:val="22"/>
              </w:rPr>
              <w:t xml:space="preserve">(1) Paragraph 2(a) is stricken and replaced with the following: </w:t>
              <w:br/>
              <w:br/>
              <w:t>“(a)    For Participant or on behalf of any other corporation, business, partnership, limited liability company, unincorporated association, enterprise, or other entity, directly or indirectly solicit or otherwise initiate contact with any customer with whom Participant had Material Contact during the final two (2) years of Participant’s employment with the Company, concerning any products or services that are the same as, competitive with, or similar to those that Participant was responsible for or were otherwise involved with during Participant’s employment with the Company. For purposes of this Restrictive Covenants Agreement, the Participant will have had “Material Contact” with a customer if: (i) Participant had business dealings with the customer on the Company’s behalf; (ii) Participant was responsible for supervising or coordinating the dealings between the Company and the customer; or (iii) Participant obtained Confidential/Proprietary Trade Secret Information about the customer as a result of Participant’s association with the Company;”</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    Paragraph 2 does not restrict Participant from providing a service to a customer or client of the Company if the employee does not initiate contact with or solicit the customer or client.</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    Paragraph 2(b) does not apply to a “low-wage employee” within the meaning of Code of Virginia § 40.1-28.7:8. </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    For agreements signed on or after July 1, 2026, if Participant is terminated by the Company without cause, Paragraph 2(b) does not apply to Participant unless the Company pays to Participant a payment in the amount of $1,000.00. </w:t>
            </w:r>
          </w:p>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    The terms “Pennsylvania” in paragraph 6(c) is replaced with “Virigina”.</w:t>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ADDITIONAL TERMS AND CONDITIONS FOR INTERNATIONAL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Exhibit B (this “</w:t>
      </w:r>
      <w:r>
        <w:rPr>
          <w:rFonts w:ascii="Times New Roman;serif" w:hAnsi="Times New Roman;serif"/>
          <w:b/>
          <w:color w:val="000000"/>
          <w:sz w:val="22"/>
        </w:rPr>
        <w:t>Exhibit</w:t>
      </w:r>
      <w:r>
        <w:rPr>
          <w:color w:val="000000"/>
        </w:rPr>
        <w:t>”</w:t>
      </w:r>
      <w:r>
        <w:rPr>
          <w:rFonts w:ascii="Times New Roman;serif" w:hAnsi="Times New Roman;serif"/>
          <w:b w:val="false"/>
          <w:color w:val="000000"/>
          <w:sz w:val="22"/>
        </w:rPr>
        <w:t>), which is part of the Agreement, contains additional terms and conditions that govern the PSUs granted to the Participant under the Plan if he or she resides outside the United States. The terms and conditions in Part A apply to all Participants outside the United States. The country-specific terms and conditions and/or notifications in Part B will also apply to the Participant if he or she resides in one of the countries listed below. Unless otherwise defined, capitalized terms used but not defined in this Exhibit have the meanings set forth in the Plan and/or the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Exhibit also includes information regarding exchange controls and certain other issues of which the Participant should be aware with respect to participation in the Plan. The information is based on the exchange control, securities and other laws in effect in the respective countries as of May 2026. Such laws are often complex and change frequently. As a result, the Company strongly recommends that the Participant not rely on the information in this Exhibit as the only source of information relating to the consequences of his or her participation in the Plan because the information may be out of date at the time that the Participant vests in the PSUs or sell shares of Common Stock acquired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is advised to seek appropriate professional advice as to how the relevant laws in his or her country may apply to the Participant’s situation.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Finally, if the Participant is a citizen or resident, or is considered a resident, of a country other than the one in which he or she is currently working, or transferred employment after the PSUs were granted to him or her, the information contained herein may not be applicable. In addition, the Company shall, in its sole discretion, determine to what extent the additional terms and conditions included herein will apply to you under these circumstances.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    </w:t>
      </w:r>
      <w:r>
        <w:rPr>
          <w:rFonts w:ascii="Times New Roman;serif" w:hAnsi="Times New Roman;serif"/>
          <w:b/>
          <w:color w:val="000000"/>
          <w:sz w:val="22"/>
          <w:u w:val="single"/>
        </w:rPr>
        <w:t>ALL NON-U.S. COUNTRIES ADDITIONAL 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additional terms and conditions will apply to the Participant if he or she resides in any country outside the United States.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Responsibility for Taxes</w:t>
      </w:r>
      <w:r>
        <w:rPr>
          <w:rFonts w:ascii="Times New Roman;serif" w:hAnsi="Times New Roman;serif"/>
          <w:b w:val="false"/>
          <w:color w:val="000000"/>
          <w:sz w:val="22"/>
        </w:rPr>
        <w:t>. The following section replaces Section 10 of the Agreement in its entirety:</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The Participant acknowledges that, regardless of any action taken by the Company or, if different, the Participant’s employer (the “</w:t>
      </w:r>
      <w:r>
        <w:rPr>
          <w:rFonts w:ascii="Times New Roman;serif" w:hAnsi="Times New Roman;serif"/>
          <w:b/>
          <w:color w:val="000000"/>
          <w:sz w:val="22"/>
        </w:rPr>
        <w:t>Employer</w:t>
      </w:r>
      <w:r>
        <w:rPr>
          <w:color w:val="000000"/>
        </w:rPr>
        <w:t>”</w:t>
      </w:r>
      <w:r>
        <w:rPr>
          <w:rFonts w:ascii="Times New Roman;serif" w:hAnsi="Times New Roman;serif"/>
          <w:b w:val="false"/>
          <w:color w:val="000000"/>
          <w:sz w:val="22"/>
        </w:rPr>
        <w:t>),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color w:val="000000"/>
          <w:sz w:val="22"/>
        </w:rPr>
        <w:t>Tax-Related Items</w:t>
      </w:r>
      <w:r>
        <w:rPr>
          <w:color w:val="000000"/>
        </w:rPr>
        <w:t>”</w:t>
      </w:r>
      <w:r>
        <w:rPr>
          <w:rFonts w:ascii="Times New Roman;serif" w:hAnsi="Times New Roman;serif"/>
          <w:b w:val="false"/>
          <w:color w:val="000000"/>
          <w:sz w:val="22"/>
        </w:rPr>
        <w:t xml:space="preserve">)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PSU, including, but not limited to, the grant, vesting or settlement of the PSUs, the subsequent sale of shares of Common Stock acquired pursuant to such settlement and the receipt of any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dividends and/or any dividend equivalents; and (2) 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between the Date of Grant and the date of any relevant taxable or tax withholding event, as applicable, the Participant acknowledges that the Company and/or the Employer (or former employer, as applicable) may be required to withhold or account for Tax-Related Items in more than one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Prior to any relevant taxable or tax withholding event, as applicable, the Participant agrees to make adequate arrangements satisfactory to the Company and/or the Employer to satisfy all Tax-Related Items. In this regard, the Participant authorizes the Company and/or the Employer to satisfy the obligations with regard to all Tax-Related Items by one or a combination of the following methods: (i) requiring payment by the Participant to the Company, on demand, by cash, check or other method of payment as may be determined acceptable by the Company; or (ii) withholding from the Participant’s wages or other cash compensation paid to the Participant by the Company and/or the Employer; or (iii) withholding from proceeds of the sale of shares of Common Stock acquired at vesting of the PSUs either through a voluntary sale or through a mandatory sale arranged by the Company (on the Participant’s behalf pursuant to this authorization) without further consent; or (iv) withholding shares of Common Stock issuable at vesting of the PSUs.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Depending on the withholding method, the Company and/or the Employer may withhold or account for Tax-Related Items by considering applicable minimum statutory withholding rates or other applicable withholding rates, including maximum applicable rates, in which case the Participant will receive a refund of any over-withheld amount in cash and will have no entitlement to the Common Stock equivalent. If the obligation for Tax-Related Items is satisfied by withholding in shares of Common Stock, for tax purposes, the Participant is deemed to have been issued the full number of shares of Common Stock subject to the vested PSUs, notwithstanding that a number of the shares of Common Stock are held back solely for the purpose of paying the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Finally, the Participant agrees to pay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of Common Stock, if the Participant fails to comply with the Participant’s obligations in connection with the Tax-Related Items.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u w:val="single"/>
        </w:rPr>
        <w:t>Nature of Grant</w:t>
      </w:r>
      <w:r>
        <w:rPr>
          <w:rFonts w:ascii="Times New Roman;serif" w:hAnsi="Times New Roman;serif"/>
          <w:b w:val="false"/>
          <w:color w:val="000000"/>
          <w:sz w:val="22"/>
        </w:rPr>
        <w:t xml:space="preserve">. In accepting the grant, the Participant acknowledges, understands and agrees that: (1) the Plan is established voluntarily by the Company, it is discretionary in nature and it may be modified, amended, suspended or terminated by the Company at any time, to the extent permitted by the Plan; (2) all decisions with respect to future PSU or other grants, if any, will be at the sole discretion of the Company; (3) the Participant is voluntarily participating in the Plan; (4) the PSU and the shares of Common Stock subject to the PSU are not intended to replace any pension rights or compensation; (5) the future value of the underlying shares of Common Stock is unknown, indeterminable and cannot be predicted with certainty; (6) no claim or entitlement to compensation or damages shall arise from forfeiture of the PSUs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and in consideration of the grant of the PSUs to which the Participant is otherwise not entitled, the Participant irrevocably agrees never to institute any claim against the Company, any of its Subsidiaries or the Employer, waives the Participant’s ability, if any, to bring any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such claim, and releases the Company, its Subsidiaries and the Employer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 (7) for purposes of the PSUs, the Participant’s employment or service relationship will be considered terminated as of the date the Participant is no longer actively providing services to the Company or one of its Subsidiaries (regardless of the reason for such termination and whether or not later found to be invalid or in breach of employment laws in the jurisdiction where the Participant is employed or providing services or the terms of the Participant’s employment or service agreement, if any) and unless otherwise expressly provided in these Terms and Conditions or determined by the Company, the Participant’s right to vest in the PSUs under the Plan, if any, will terminate as of such date and will not be extended by any notice period (e.g., the Participant’s period of service would not include any contractual notice period or any period of “garden leave” or similar period mandated under employment laws in the jurisdiction where the Participant is employed or providing services or the terms of the Participant’s employment or service agreement, if any); the Company shall have the exclusive discretion to determine when the Participant is no longer actively providing services for purposes of the Participant’s PSU grant (including whether the Participant may still be considered to be providing services while on an approved leave of absence); (8) unless otherwise provided in the Plan or by the Company in its discretion, the PSUs and the benefits evidenced by these Terms and Conditions do not create any entitlement to have the PSUs or any such benefits transferred to, or assumed by, another company nor to be exchanged, cashed out or substituted for, in connection with any corporate transaction affecting the shares of the Company; (9) the PSUs and the shares of Common Stock subject to the PSUs, and the income and value of same, are not part of normal or expected compensation for any purpose, including, without limitation, calculating severance, resignation, termination, redundancy, dismissal, end-of-service payments, bonuses, long-service awards, pension or retirement or welfare benefits or similar payments; and (10) the Participant acknowledges and agrees that neither the Company, the Employer nor any subsidiary or affiliate of the Company shall be liable for any foreign exchange rate fluctuation between the Participant’s local currency and the United States Dollar that may affect the value of the PSUs or of any amounts due to the Participant pursuant to the settlement of the PSUs or the subsequent sale of any shares of Common Stock acquired upon settlement.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the Participant’s participation in the Plan, or the Participant’s acquisition or sale of the underlying shares of Common Stock. The Participant is hereby advised to consult with the Participant’s own personal tax, legal and financial advisors regarding the Participant’s participation in the Plan before taking any action related to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Data Privacy for Participants not based in the European Economic Area or the United Kingdom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Participant hereby explicitly and unambiguously consents to the collection, use and transfer, in electronic or other form, including email, of the Participant’s personal data as described in the Agreement and any other PSU grant materials (“</w:t>
      </w:r>
      <w:r>
        <w:rPr>
          <w:rFonts w:ascii="Times New Roman;serif" w:hAnsi="Times New Roman;serif"/>
          <w:b/>
          <w:color w:val="000000"/>
          <w:sz w:val="22"/>
        </w:rPr>
        <w:t>Data</w:t>
      </w:r>
      <w:r>
        <w:rPr>
          <w:color w:val="000000"/>
        </w:rPr>
        <w:t>”</w:t>
      </w:r>
      <w:r>
        <w:rPr>
          <w:rFonts w:ascii="Times New Roman;serif" w:hAnsi="Times New Roman;serif"/>
          <w:b w:val="false"/>
          <w:color w:val="000000"/>
          <w:sz w:val="22"/>
        </w:rPr>
        <w:t>) by and among, as applicable, the Employer, the Company and its subsidiaries and affiliates for the exclusive purpose of implementing, administering and managing the Participant’s participation in the Plan.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Participant understands that the Company and the Employer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details of all PSUs or any other entitlement to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shares of stock awarded, canceled, exercised, vested, unvested or outstanding in the Participant’s favor, for the exclusive purpose of implementing, administering and managing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that Data will be transferred to the Company’s stock transfer agent and/or broker, or such other stock plan service provider as may be selected by the Company in the future, which is assisting the Company with the implementation, administration and management of the Plan. The Participant understands that the recipients of the Data may be located in the United States or elsewhere (including outside the EEA),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the Company’s stock transfer agent and/or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the Participant is providing the consents herein on a purely voluntary basis. If the Participant does not consent, or if the Participant later seeks to revoke the Participant’s consent, the Participant’s employment status or service and career with the Employer will not be adversely affected; the only adverse consequence of refusing or withdrawing the Participant’s consent is that the Company would not be able to grant the Participant PSUs or other equity awards or administer or maintain such awards. Therefore, the Participant understands that refusing or withdrawing the Participant’s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Data Privacy for Participants based in the European Economic Area (including the 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and its subsidiaries and affiliates will process the data of the Participant in accordance with (i) the applicable data privacy policy or policies adopted by the Company or its subsidiaries and affiliates; and (ii) the data privacy notice(s) provided to the Participant covering the processing of the Participant’s data in connection with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understands and acknowledges that the processing of their data by the Company and its subsidiaries and affiliates in relation to the operation of the Plan is necessary for (i) the performance of the Agreement; (ii) to comply with any legal obligation in relation to the operation of the Plan; and (iii) to account for any tax and duties in relation to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Governing Law and Venue</w:t>
      </w:r>
      <w:r>
        <w:rPr>
          <w:rFonts w:ascii="Times New Roman;serif" w:hAnsi="Times New Roman;serif"/>
          <w:b w:val="false"/>
          <w:color w:val="000000"/>
          <w:sz w:val="22"/>
        </w:rPr>
        <w:t>. The PSU grant and the provisions of the Agreement are governed by, and subject to, the internal substantive laws of the State of Delaware, United States of America (with the exception of its conflict of law provisions).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litigating any dispute that arises directly or indirectly from the relationship of the parties evidenced by this grant or the Agreement, the parties hereby submit to and consent to the exclusive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jurisdiction of the Commonwealth of Pennsylvania in the United States of America and agree that such litigation shall be conducted only in the courts of Cumberland County, the Commonwealth of Pennsylvania, or the federal courts for the United States of America for the Middle District of Pennsylvania, and no other courts, where this grant is made and/or to be performed.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Compliance with Law</w:t>
      </w:r>
      <w:r>
        <w:rPr>
          <w:rFonts w:ascii="Times New Roman;serif" w:hAnsi="Times New Roman;serif"/>
          <w:b w:val="false"/>
          <w:color w:val="000000"/>
          <w:sz w:val="22"/>
        </w:rPr>
        <w:t>. The following section supplements Section 8 of the Agreement: Notwithstanding any other provision of the Plan or the Agreement, unless there is an available exemption from any registration, qualification or other legal requirement applicable to the shares of Common Stock, the Company shall not be required to deliver any shares issuable upon settlement of the PSUs prior to the completion of any registration or qualification of the shares under any local, state, federal or foreign securities or exchange control law or under rulings or regulations of the U.S. Securities and Exchange Commission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Company shall have unilateral authority to amend the Plan and the Agreement without the Participant’s consent to the extent necessary to comply with securities or other laws applicable to issuance of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Language</w:t>
      </w:r>
      <w:r>
        <w:rPr>
          <w:rFonts w:ascii="Times New Roman;serif" w:hAnsi="Times New Roman;serif"/>
          <w:b w:val="false"/>
          <w:color w:val="000000"/>
          <w:sz w:val="22"/>
        </w:rPr>
        <w:t>. If the Participant has received the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including email.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Severability</w:t>
      </w:r>
      <w:r>
        <w:rPr>
          <w:rFonts w:ascii="Times New Roman;serif" w:hAnsi="Times New Roman;serif"/>
          <w:b w:val="false"/>
          <w:color w:val="000000"/>
          <w:sz w:val="22"/>
        </w:rPr>
        <w:t>. The provisions of these Terms and Conditions are severable and if any one or more provisions are determined to be illegal or otherwise unenforceable, in whole or in part, the remaining provisions shall nevertheless be binding and enforceable.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Subject to Section 14 of the Agreement, the Company reserves the right to impose other requirements on the Participant’s participation in the Plan, on the PSUs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Waiver</w:t>
      </w:r>
      <w:r>
        <w:rPr>
          <w:rFonts w:ascii="Times New Roman;serif" w:hAnsi="Times New Roman;serif"/>
          <w:b w:val="false"/>
          <w:color w:val="000000"/>
          <w:sz w:val="22"/>
        </w:rPr>
        <w:t>. The Participant acknowledges that a waiver by the Company of breach of any provision of these Terms and Conditions shall not operate or be construed as a waiver of any other provision of these Terms and Conditions, or of any subsequent breach by the Participant or any other Participant.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B.    </w:t>
      </w:r>
      <w:r>
        <w:rPr>
          <w:rFonts w:ascii="Times New Roman;serif" w:hAnsi="Times New Roman;serif"/>
          <w:b/>
          <w:color w:val="000000"/>
          <w:sz w:val="22"/>
          <w:u w:val="single"/>
        </w:rPr>
        <w:t>COUNTRY-SPECIFIC ADDITIONAL TERMS AND CONDITIONS AND 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BAHRAIN</w:t>
      </w:r>
    </w:p>
    <w:p>
      <w:pPr>
        <w:pStyle w:val="TextBody"/>
        <w:bidi w:val="0"/>
        <w:spacing w:before="0" w:after="0"/>
        <w:jc w:val="both"/>
        <w:rPr/>
      </w:pPr>
      <w:r>
        <w:rPr/>
      </w:r>
    </w:p>
    <w:p>
      <w:pPr>
        <w:pStyle w:val="TextBody"/>
        <w:bidi w:val="0"/>
        <w:spacing w:lineRule="auto" w:line="288"/>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grant of the PSUs and any payments made hereunder will not be considered salary, wages or other fixed compensation for purposes of any severance pay, end of service gratuity or similar allowance or entitlement, except as otherwise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Reporting Information</w:t>
      </w:r>
      <w:r>
        <w:rPr>
          <w:rFonts w:ascii="Times New Roman;serif" w:hAnsi="Times New Roman;serif"/>
          <w:b w:val="false"/>
          <w:color w:val="000000"/>
          <w:sz w:val="22"/>
        </w:rPr>
        <w:t>. Participant is required to report any bank accounts opened and maintained outside of Belgium on his or her annual Belgian tax return.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BRAZIL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Compliance with Law</w:t>
      </w:r>
      <w:r>
        <w:rPr>
          <w:rFonts w:ascii="Times New Roman;serif" w:hAnsi="Times New Roman;serif"/>
          <w:b w:val="false"/>
          <w:color w:val="000000"/>
          <w:sz w:val="22"/>
        </w:rPr>
        <w:t xml:space="preserve">. By accepting the PSUs, the Participant acknowledges that he or she agrees that (i) the grant, vesting/settlement and delivery of any shares occur outside Brazil by Enviri Corporation (a Delaware corporation) and do not involve a public offering of securities in Brazil and (ii) the Participant will comply with applicable Brazilian laws in connection with holding and disposing of assets abroad, including the receipt of any dividends, and any reporting obligations related to such assets.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Labor and Social Security Law.</w:t>
      </w:r>
      <w:r>
        <w:rPr>
          <w:color w:val="000000"/>
        </w:rPr>
        <w:t xml:space="preserve"> </w:t>
      </w:r>
      <w:r>
        <w:rPr>
          <w:rFonts w:ascii="Times New Roman;serif" w:hAnsi="Times New Roman;serif"/>
          <w:b w:val="false"/>
          <w:color w:val="000000"/>
          <w:sz w:val="22"/>
        </w:rPr>
        <w:t>For Participants resident or employed in Brazil, the PSUs are granted on a discretionary basis, are not part of fixed or ordinary compensation, and shall not be considered salary or remuneration for purposes of Brazilian labor and social security laws, including for purposes of severance payments, vacation pay, 13th salary, FGTS contributions, notice payments, overtime, social security contributions or any other labor entitlement, except as otherwise determined by mandatory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restrictive covenants applicable to Participants resident or employed in Brazil shall apply only to the extent enforceable under applicable Brazilian law, including applicable requirements regarding reasonable scope, duration and financial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w:t>
      </w:r>
      <w:r>
        <w:rPr>
          <w:color w:val="000000"/>
        </w:rPr>
        <w:t xml:space="preserve"> </w:t>
      </w:r>
      <w:r>
        <w:rPr>
          <w:rFonts w:ascii="Times New Roman;serif" w:hAnsi="Times New Roman;serif"/>
          <w:b w:val="false"/>
          <w:color w:val="000000"/>
          <w:sz w:val="22"/>
        </w:rPr>
        <w:t>Participation in the Plan in Brazil is made on a private basis to a restricted group of eligible participants and does not constitute a public offering of securities in Brazil. No registration with the Brazilian Securities and Exchange Commission (CVM) is required for the grant, vesting/settlement or delivery of shares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Dividend Equivalents are granted solely in connection with the equity incentive nature of the RSUs and not as consideration for services rendered.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xml:space="preserve">. If the Participant is resident or domiciled in Brazil, he or she will be required to submit annually a declaration of assets and rights held outside of Brazil to the Banco Central do Brasil (CBE — Declaração de Capitais Brasileiros no Exterior) if the aggregate value of such assets and rights equals or exceeds the threshold established by BCB regulations in force at the time of the declaration (currently USD 1,000,000, or equivalent, as of December 31 of each calendar year). Assets and rights that must be reported include shares of Common Stock acquired upon vesting of PSUs, and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may also include unvested PSUs to the extent they are treated as rights with determinable value under applicable BCB guidance. Brazilian resident Participants are strongly advised to consult their legal and tax advisors regarding the CBE reporting obligations applicable to their specific circumstances, as such regulations are subject to change.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Capital Gains Tax</w:t>
      </w:r>
      <w:r>
        <w:rPr>
          <w:rFonts w:ascii="Times New Roman;serif" w:hAnsi="Times New Roman;serif"/>
          <w:b w:val="false"/>
          <w:color w:val="000000"/>
          <w:sz w:val="22"/>
        </w:rPr>
        <w:t>. Brazilian resident Participants who sell shares of Common Stock acquired upon vesting of PSUs may be subject to Brazilian capital gains tax (IRPF — ganho de capital) on the positive difference between the sale proceeds and the tax cost basis of the shares (which, as a general matter, corresponds to the fair market value of the shares at the time of vesting, as reported for carnê-leão purposes). Capital gains must be calculated and reported using the Programa de Apuração de Ganhos de Capital (GCAP), and the corresponding IRPF must be paid by the last business day of the month following the month of the sale. The applicable rates range from 15% to 22.5% depending on the amount of the gain realized. Brazilian resident Participants are advised to consult their personal tax advisors regarding the applicable rates and reporting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Annual Income Tax Return - Foreign Assets</w:t>
      </w:r>
      <w:r>
        <w:rPr>
          <w:rFonts w:ascii="Times New Roman;serif" w:hAnsi="Times New Roman;serif"/>
          <w:b w:val="false"/>
          <w:color w:val="000000"/>
          <w:sz w:val="22"/>
        </w:rPr>
        <w:t>. Brazilian resident Participants who hold shares of Common Stock outside Brazil are required to declare such shares as 'Bens e Direitos' (Assets and Rights) in their annual DIRPF, using the applicable code for shares in foreign companies, at the acquisition cost (in Brazilian reais, converted at the PTAX exchange rate on the relevant date). Unvested PSUs may also be reportable as rights to receive foreign shares, and Participants are advised to consult their personal tax advisors regarding the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Participants resident or domiciled in Brazil, since PSUs are granted by a foreign entity with no Brazilian affiliate or employer acting as withholding agent, no Brazilian income tax (IRPF) will be withheld at source. Brazilian resident Participants are solely responsible for (i) calculating and paying IRPF, if applicable; and (ii) their Brazilian individual income tax return (Declaração de Ajuste Anual — DIRPF).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Settlement</w:t>
      </w:r>
      <w:r>
        <w:rPr>
          <w:rFonts w:ascii="Times New Roman;serif" w:hAnsi="Times New Roman;serif"/>
          <w:b w:val="false"/>
          <w:color w:val="000000"/>
          <w:sz w:val="22"/>
        </w:rPr>
        <w:t>. Notwithstanding any discretion in the Plan or anything to the contrary in this Agreement, this grant of PSUs, along with any dividend equivalent amounts otherwise payable under Section 6 of this Agreement, shall only be settled in newly-issued shares of Common Stock, and without the use of any form of employee benefit trust. This provision is without prejudice to the application of Section 10 of this Agreement, provided the Participant has been given a reasonable opportunity to pay (either out his/her own funds or via payroll deduction) the relevant withholding tax amounts.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Continuous Employment</w:t>
      </w:r>
      <w:r>
        <w:rPr>
          <w:rFonts w:ascii="Times New Roman;serif" w:hAnsi="Times New Roman;serif"/>
          <w:b w:val="false"/>
          <w:color w:val="000000"/>
          <w:sz w:val="22"/>
        </w:rPr>
        <w:t>. The following provision supplements this Agreement and the Plan: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A Participant’s Continuous Service (or substantially similar term), as the case may be, will be deemed to have been terminated (regardless of the reason for the termination and whether or not later found to be invalid or in breach of applicable law in the jurisdiction where Participant is rendering services or the terms of Participant’s employment or other service agreement, if any) on the date that is the earliest of (1) the termination date of Participant’s status as an employee, (2) the date Participant receives written notice of termination of Participant’s status as an employee or service provider, or (3) the date Participant is no longer actively employed by or actively providing services to the Company or any of its subsidiaries regardless of any notice period or period of pay in lieu of such notice mandated under applicable law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(including, but not limited to, statutory law, regulatory law and/or common law) in the jurisdiction where Participant is employed or rendering service or the terms of Participant’s employment or other service agreement,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applicable employment or labour standards legislation explicitly requires continued participation in the Plan during a statutory notice period, Participant acknowledges that his or her right to participate in the Plan, if any, will terminate effective as of the last day of Participant’s minimum statutory notice period, but Participant will not earn or be entitled to pro-rata vesting if the vesting date falls after the end of Participant’s statutory notice period, nor will Participant be entitled to any compensation for lost vesting.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Cause</w:t>
      </w:r>
      <w:r>
        <w:rPr>
          <w:rFonts w:ascii="Times New Roman;serif" w:hAnsi="Times New Roman;serif"/>
          <w:b w:val="false"/>
          <w:color w:val="000000"/>
          <w:sz w:val="22"/>
        </w:rPr>
        <w:t>. For purposes of this Agreement and the Plan, “</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 xml:space="preserve">means the occurrence of any of the following: (A) an act or acts of personal dishonesty taken by the Participant and intended to result in substantial personal enrichment of the Participant at the expense of the Company; (B) repeated failure by the Participant to devote reasonable attention and time during normal business hours to the business and affairs of the Company or to use the Participant’s reasonable best efforts to perform faithfully and efficiently the responsibilities assigned to the Participant (provided that such failure is demonstrated to be willful and deliberate on the Participant’s part and is not remedied in a reasonable period of time after receipt of written notice from the Company); or (C) the conviction of the Participant of a felony, indictable offence, or summary conviction offence that is related to the employment or intended employment of the Participant;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Participant is employed in the Province of Ontario, “Cause” instead means willful misconduct, disobedience or willful neglect of duty that is not trivial and has not been condoned by the Company or a subsidiary.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Your participation in the Plan is voluntary, and you acknowledge and agree that you have not been induced to enter into this Agreement or acquire any PSUs or Common Stock by expectation of employment, engagement or appointment or continued employment, engagement or appointment.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understand that you are permitted to sell Common Stock acquired pursuant to the Plan, provided that the Company is a “foreign issuer” that is not a public company in any jurisdiction of Canada and the sale of the Common Stock acquired pursuant to the Plan takes place: (i) through an exchange, or a market, outside of Canada on the distribution date; or (ii) to a person or company outside of Canada. For purposes hereof, in addition to not being a reporting issuer in any jurisdiction of Canada, a “foreign issuer” is an issuer that: (i) is not incorporated or existing pursuant to the laws of Canada or any jurisdiction of Canada; (ii) does not have its head office in Canada; and (iii) does not have a majority of its executive officers or directors ordinarily resident in Canada. If any designated broker is appointed under the Plan, you shall sell such securities through the designated broker.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For Participants in the Province of Ontario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Restrictive Covenants Agreement</w:t>
      </w:r>
      <w:r>
        <w:rPr>
          <w:rFonts w:ascii="Times New Roman;serif" w:hAnsi="Times New Roman;serif"/>
          <w:b w:val="false"/>
          <w:color w:val="000000"/>
          <w:sz w:val="22"/>
        </w:rPr>
        <w:t>. Section 2(b) of the Restrictive Covenants Agreement does not apply to non-Executive Participants employed in the Province of Ontario, where “Executive” has the meaning given to it in the Working for Workers Act (Ontario).</w:t>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Foreign Asset/Account Reporting Information</w:t>
      </w:r>
      <w:r>
        <w:rPr>
          <w:rFonts w:ascii="Times New Roman;serif" w:hAnsi="Times New Roman;serif"/>
          <w:b w:val="false"/>
          <w:color w:val="000000"/>
          <w:sz w:val="22"/>
        </w:rPr>
        <w:t>. Participant is required to report any foreign specified property on form T1135 (Foreign Income Verification Statement) if the total value of the “foreign specified property” exceeds C$100,000 at any time in the year. Foreign specified property includes Common Stock acquired under the Plan, and may include the PSUs. The PSUs must be reported (generally at a nil cost) if the $100,000 cost threshold is exceeded because of other foreign property Participant holds. If Common Stock is acquired, its cost generally is the adjusted cost base (“</w:t>
      </w:r>
      <w:r>
        <w:rPr>
          <w:rFonts w:ascii="Times New Roman;serif" w:hAnsi="Times New Roman;serif"/>
          <w:b/>
          <w:color w:val="000000"/>
          <w:sz w:val="22"/>
        </w:rPr>
        <w:t>ACB</w:t>
      </w:r>
      <w:r>
        <w:rPr>
          <w:color w:val="000000"/>
        </w:rPr>
        <w:t>”</w:t>
      </w:r>
      <w:r>
        <w:rPr>
          <w:rFonts w:ascii="Times New Roman;serif" w:hAnsi="Times New Roman;serif"/>
          <w:b w:val="false"/>
          <w:color w:val="000000"/>
          <w:sz w:val="22"/>
        </w:rPr>
        <w:t>) of the Common Stock. The ACB ordinarily would equal the fair market value of the Common Stock at the time of acquisition, but if Participant owns other Common Stock, this ACB may have to be averaged with the ACB of the other Common Stock. The form must be filed by April 30 following the taxation year in question. Participant should consult with his or her personal legal and tax advisor, as the case may be, to ensure compliance with applicable reporting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CHINA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following provisions apply to Participants who, as the Company determines in its sole discretion, are subject to foreign exchange control requirements in the People's Republic of China ("</w:t>
      </w:r>
      <w:r>
        <w:rPr>
          <w:rFonts w:ascii="Times New Roman;serif" w:hAnsi="Times New Roman;serif"/>
          <w:b/>
          <w:color w:val="000000"/>
          <w:sz w:val="22"/>
        </w:rPr>
        <w:t>PRC</w:t>
      </w:r>
      <w:r>
        <w:rPr>
          <w:rFonts w:ascii="Times New Roman;serif" w:hAnsi="Times New Roman;serif"/>
          <w:b w:val="false"/>
          <w:color w:val="000000"/>
          <w:sz w:val="22"/>
        </w:rPr>
        <w:t>" or "</w:t>
      </w:r>
      <w:r>
        <w:rPr>
          <w:rFonts w:ascii="Times New Roman;serif" w:hAnsi="Times New Roman;serif"/>
          <w:b/>
          <w:color w:val="000000"/>
          <w:sz w:val="22"/>
        </w:rPr>
        <w:t>China</w:t>
      </w:r>
      <w:r>
        <w:rPr>
          <w:rFonts w:ascii="Times New Roman;serif" w:hAnsi="Times New Roman;serif"/>
          <w:b w:val="false"/>
          <w:color w:val="000000"/>
          <w:sz w:val="22"/>
        </w:rPr>
        <w:t>") including requirements imposed by the State Administration of Foreign Exchange ("</w:t>
      </w:r>
      <w:r>
        <w:rPr>
          <w:rFonts w:ascii="Times New Roman;serif" w:hAnsi="Times New Roman;serif"/>
          <w:b/>
          <w:color w:val="000000"/>
          <w:sz w:val="22"/>
        </w:rPr>
        <w:t>SAFE</w:t>
      </w:r>
      <w:r>
        <w:rPr>
          <w:rFonts w:ascii="Times New Roman;serif" w:hAnsi="Times New Roman;serif"/>
          <w:b w:val="false"/>
          <w:color w:val="000000"/>
          <w:sz w:val="22"/>
        </w:rPr>
        <w:t>") (each, a "</w:t>
      </w:r>
      <w:r>
        <w:rPr>
          <w:rFonts w:ascii="Times New Roman;serif" w:hAnsi="Times New Roman;serif"/>
          <w:b/>
          <w:color w:val="000000"/>
          <w:sz w:val="22"/>
        </w:rPr>
        <w:t>PRC Participant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Agreement or the Plan, due to local regulatory requirements, upon the vesting of the PSUs, a PRC Participant will receive a cash payment in China via the Company’s local Chinese payroll in an amount equal to the value of the shares of Common Stock underlying the vested PSUs on the vesting date, less any or all income tax, social insurance, payroll tax, payment on account or other Tax-Related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unless and until all applicable PRC laws, regulations and regulatory requirements have been satisfied, a PRC Participant shall not receive, hold, or have any right to demand delivery of shares of Common Stock in connection with the PSUs under the Plan, and any provisions in the Agreement or the Plan relating to the issuance, delivery or holding of shares of Common Stock shall not apply to such PRC Participant.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Consent to Receive Information in English</w:t>
      </w:r>
      <w:r>
        <w:rPr>
          <w:rFonts w:ascii="Times New Roman;serif" w:hAnsi="Times New Roman;serif"/>
          <w:b w:val="false"/>
          <w:color w:val="000000"/>
          <w:sz w:val="22"/>
        </w:rPr>
        <w:t>. By accepting the grant of the PSUs, the Participant confirms having read and understood the Plan and the Agreement, which were provided in the English language. The Participant accepts the terms of those documents accordingly.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En acceptant cette attribution gratuite d’actions, le Participant confirme avoir lu et compris le Plan et ce Contrat, incluant tous leurs termes et conditions, qui ont été transmis en langue anglaise. Le Participant accepte les dispositions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accepting the grant of the award, the Participant confirms that to the extent they are not an employee of a French subsidiary of the Company, they will be responsible for filing the appropriate tax returns.</w:t>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Notification</w:t>
      </w:r>
      <w:r>
        <w:rPr>
          <w:rFonts w:ascii="Times New Roman;serif" w:hAnsi="Times New Roman;serif"/>
          <w:b w:val="false"/>
          <w:color w:val="000000"/>
          <w:sz w:val="22"/>
        </w:rPr>
        <w:t>. The PSUs are not intended to be French tax-qualified.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Exchange Control Notification</w:t>
      </w:r>
      <w:r>
        <w:rPr>
          <w:rFonts w:ascii="Times New Roman;serif" w:hAnsi="Times New Roman;serif"/>
          <w:b w:val="false"/>
          <w:color w:val="000000"/>
          <w:sz w:val="22"/>
        </w:rPr>
        <w:t>. The Participant may hold shares of Common Stock acquired under the Plan outside of France provided that he or she declares all foreign accounts (including any accounts that were opened or closed during the tax year) on his or her annual French income tax return.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Parties to the Agreement</w:t>
      </w:r>
      <w:r>
        <w:rPr>
          <w:rFonts w:ascii="Times New Roman;serif" w:hAnsi="Times New Roman;serif"/>
          <w:b w:val="false"/>
          <w:color w:val="000000"/>
          <w:sz w:val="22"/>
        </w:rPr>
        <w:t>. The Agreement is exclusively concluded between Enviri Corporation and the Participant. The local Enviri Corporation entity employing the Participant is not in any way party to the Agreement or entitled/committed hereby.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Vesting of PSUs</w:t>
      </w:r>
      <w:r>
        <w:rPr>
          <w:rFonts w:ascii="Times New Roman;serif" w:hAnsi="Times New Roman;serif"/>
          <w:b w:val="false"/>
          <w:color w:val="000000"/>
          <w:sz w:val="22"/>
        </w:rPr>
        <w:t>. Notwithstanding anything to the contrary in the Agreement or in the Plan, the Participant will be deemed to have a “Disability” for the purposes of this Agreement, if the Participant’s employment contract ends as a consequence of the Participant being granted a permanent statutory pension for full occupational disability (unbefristete Rente wegen voller Erwerbsminderung) by the competent authorities.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Restrictive Covenants Agreement</w:t>
      </w:r>
      <w:r>
        <w:rPr>
          <w:rFonts w:ascii="Times New Roman;serif" w:hAnsi="Times New Roman;serif"/>
          <w:b w:val="false"/>
          <w:color w:val="000000"/>
          <w:sz w:val="22"/>
        </w:rPr>
        <w:t>. Notwithstanding anything to the contrary in the Restrictive Covenants Agreement, it is exclusively concluded between Enviri Corporation and the Participant. The employer of the Participant is not in any way party to the Restrictive Covenants Agreement or entitled/committed hereby. The Restrictive Covenants Agreement does not affect in any way a separate non-competition agreement concluded between the Participant and his/her employer.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hereby agrees that it shall hold the PSUs and subsequently, the shares of the Common Stock pursuant to this Agreement and the Plan, at all times in accordance with the applicable laws in India, including but not limited to the Foreign Exchange Management Act, 1999 (“FEMA”) and the Foreign Exchange Management (Overseas Investment) Rules, 2022 (“OI Rules”) (and as amended or replaced), relevant regulations, master circulars, directions, notifications, schemes issued in this regard by the Reserve Bank of India from time to time and shall assist the Company in carrying out the necessary reporting with the Reserve Bank of India at all stages of granting, vesting and issuance of shares of Common Stock, if and as may be required. The Participant agrees to indemnify the Company and/or subsidiary of the Company with respect to any non-compliance and/or non-adherence by the Participant of any of the applicable laws in India arising out of the holding of the shares of the Common Stock by the Participant.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Participant shall declare the holding of shares of the Common Stock, if and as may be necessary, in its income for taxation purposes and agrees to indemnify the Company and/or subsidiary of the Company with respect to any and all taxes that it shall be obligated to pay with respect to the shares of the Common Stock such as including but not limited to income tax, capital gain taxes etc., under this Agreement and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which may arise as a result of the sale of the shares of the Common Stock and the transactions contemplated hereunder.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THE NETHERLANDS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Restrictive Covenants Agreement</w:t>
      </w:r>
      <w:r>
        <w:rPr>
          <w:rFonts w:ascii="Times New Roman;serif" w:hAnsi="Times New Roman;serif"/>
          <w:b w:val="false"/>
          <w:color w:val="000000"/>
          <w:sz w:val="22"/>
        </w:rPr>
        <w:t>. The Restrictive Covenants Agreement entered into between the Company and the Participant shall be in addition to any non-compete arrangements between the Participant and his or her employer.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Cause</w:t>
      </w:r>
      <w:r>
        <w:rPr>
          <w:rFonts w:ascii="Times New Roman;serif" w:hAnsi="Times New Roman;serif"/>
          <w:b w:val="false"/>
          <w:color w:val="000000"/>
          <w:sz w:val="22"/>
        </w:rPr>
        <w:t>. The following provision supplements this Agreement and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respect to Participants who are employed by or provide services to an Affiliate of the Company in the Netherlands, the definition of “Cause” set forth in the Plan or applicable Award Agreement shall include, in addition to the circumstances described therein, any act or omission that constitutes an urgent cause (dringende reden) or (serious) culpable conduct ((ernstig) verwijtbaar handelen) within the meaning of the Dutch Civil Code.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Tax Indemnity</w:t>
      </w:r>
      <w:r>
        <w:rPr>
          <w:rFonts w:ascii="Times New Roman;serif" w:hAnsi="Times New Roman;serif"/>
          <w:b w:val="false"/>
          <w:color w:val="000000"/>
          <w:sz w:val="22"/>
        </w:rPr>
        <w:t>. The Participant hereby indemnifies the Company and/or subsidiary of the Company, to the extent legally permitted and to the extent not otherwise recovered from the Participant, against any and all tax liability and social security premiums interest, surcharges, and penalties arising from or in connection with the grant, vesting, settlement, or sale of PSUs under this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following provisions supplement the </w:t>
      </w:r>
      <w:r>
        <w:rPr>
          <w:rFonts w:ascii="Times New Roman;serif" w:hAnsi="Times New Roman;serif"/>
          <w:b/>
          <w:color w:val="000000"/>
          <w:sz w:val="22"/>
        </w:rPr>
        <w:t>Responsibility for Taxes</w:t>
      </w:r>
      <w:r>
        <w:rPr>
          <w:color w:val="000000"/>
        </w:rPr>
        <w:t xml:space="preserve"> </w:t>
      </w:r>
      <w:r>
        <w:rPr>
          <w:rFonts w:ascii="Times New Roman;serif" w:hAnsi="Times New Roman;serif"/>
          <w:b w:val="false"/>
          <w:color w:val="000000"/>
          <w:sz w:val="22"/>
        </w:rPr>
        <w:t>section of the Agreement for Directors or Consultants who perform services under a services agreement or management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Risk of Reclassification</w:t>
      </w:r>
      <w:r>
        <w:rPr>
          <w:rFonts w:ascii="Times New Roman;serif" w:hAnsi="Times New Roman;serif"/>
          <w:b w:val="false"/>
          <w:color w:val="000000"/>
          <w:sz w:val="22"/>
        </w:rPr>
        <w:t>. The Participant acknowledges that the Dutch tax authorities (Belastingdienst) actively enforce rules regarding the misclassification of independent contractors as employees (schijnzelfstandigheid). If the Dutch tax authorities determine that the Participant's working relationship with the employer qualifies as an employment relationship (dienstbetrekking) within the meaning of the Dutch Wage Tax Act 1964 (Wet op de loonbelasting 1964), whether deemed (fictieve dienstbetrekking) or otherwise, the Employer may be required to withhold and remit wage tax and social insurance contributions on the PSU benefits and may be subject to additional tax assessments, penalties and interest. In such event, the Participant agrees to cooperate with the employer and to reimburse the employer for any wage tax, social insurance contributions, penalties, interest or other costs incurred by the employer as a direct result of such reclassification to the extent attributable to the Participant's PSU benefits, without prejudice to any other rights the employer may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a reclassification as referred to above, the Participant authorises the employer to satisfy any resulting withholding obligations by any of the methods described in the withholding provisions applicable to employee Participants, including by way of sell-to-cover, or cash payment by the 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The Participant agrees to:</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if so required by the Company, enter into an election in a form approved by the Company in accordance with section 431 of the Income Tax (Earnings and Pensions) Act 2003 (restricted securities election) in respect of any Common Stock received by the Participant pursuant to the PSUs;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indemnify the Company, their employer and any other person in respect of any amounts in respect of income tax, employee's National Insurance contributions and, if so determined by the Company to the extent permitted by law, employer's National Insurance contributions for which the Company, their employer or any other person is obliged to account under the Pay-As-You-Earn system arising in respect of the PSUs.</w:t>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STATEMENT OF MANAGEMENT OBJECTIVES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This Statement of Management Objectives applies to the performance-based Restricted Stock Units granted to the Participant on the Date of Grant and applies with respect to the Performance Share Unit Agreement between the Company and the Participant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Capitalized terms used in the Agreement that are not specifically defined in this Statement of Management Objectives have the meanings assigned to them in the Agreement or in the Plan, as applicable.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Performance Matrix</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From 0% to 250% of the PSUs will be earned based on achievement of the Management Objectives measured by Stock Price upon conclusion of the Performance Period as follows:</w:t>
      </w:r>
    </w:p>
    <w:p>
      <w:pPr>
        <w:pStyle w:val="TextBody"/>
        <w:bidi w:val="0"/>
        <w:spacing w:before="0" w:after="0"/>
        <w:ind w:left="0" w:right="0" w:firstLine="720"/>
        <w:jc w:val="both"/>
        <w:rPr/>
      </w:pPr>
      <w:r>
        <w:rPr/>
      </w:r>
    </w:p>
    <w:tbl>
      <w:tblPr>
        <w:tblW w:w="4647" w:type="dxa"/>
        <w:jc w:val="left"/>
        <w:tblInd w:w="0" w:type="dxa"/>
        <w:tblLayout w:type="fixed"/>
        <w:tblCellMar>
          <w:top w:w="28" w:type="dxa"/>
          <w:left w:w="28" w:type="dxa"/>
          <w:bottom w:w="28" w:type="dxa"/>
          <w:right w:w="28" w:type="dxa"/>
        </w:tblCellMar>
      </w:tblPr>
      <w:tblGrid>
        <w:gridCol w:w="723"/>
        <w:gridCol w:w="634"/>
        <w:gridCol w:w="637"/>
        <w:gridCol w:w="404"/>
        <w:gridCol w:w="404"/>
        <w:gridCol w:w="406"/>
        <w:gridCol w:w="421"/>
        <w:gridCol w:w="421"/>
        <w:gridCol w:w="597"/>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16" w:space="0" w:color="231F20"/>
              <w:left w:val="single" w:sz="16" w:space="0" w:color="231F20"/>
            </w:tcBorders>
            <w:shd w:fill="C0C1C4" w:val="clear"/>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231F20"/>
                <w:sz w:val="22"/>
              </w:rPr>
            </w:pPr>
            <w:r>
              <w:rPr>
                <w:rFonts w:ascii="Times New Roman;serif" w:hAnsi="Times New Roman;serif"/>
                <w:b/>
                <w:color w:val="231F20"/>
                <w:sz w:val="22"/>
              </w:rPr>
              <w:t>Performance Level</w:t>
            </w:r>
          </w:p>
        </w:tc>
        <w:tc>
          <w:tcPr>
            <w:tcW w:w="1214" w:type="dxa"/>
            <w:gridSpan w:val="3"/>
            <w:tcBorders>
              <w:top w:val="single" w:sz="16" w:space="0" w:color="231F20"/>
              <w:left w:val="single" w:sz="16" w:space="0" w:color="231F20"/>
            </w:tcBorders>
            <w:shd w:fill="C0C1C4" w:val="clear"/>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231F20"/>
                <w:sz w:val="22"/>
              </w:rPr>
            </w:pPr>
            <w:r>
              <w:rPr>
                <w:rFonts w:ascii="Times New Roman;serif" w:hAnsi="Times New Roman;serif"/>
                <w:b/>
                <w:color w:val="231F20"/>
                <w:sz w:val="22"/>
              </w:rPr>
              <w:t>Stock Price</w:t>
            </w:r>
          </w:p>
        </w:tc>
        <w:tc>
          <w:tcPr>
            <w:tcW w:w="1439" w:type="dxa"/>
            <w:gridSpan w:val="3"/>
            <w:tcBorders>
              <w:top w:val="single" w:sz="16" w:space="0" w:color="231F20"/>
              <w:left w:val="single" w:sz="16" w:space="0" w:color="231F20"/>
              <w:right w:val="single" w:sz="16" w:space="0" w:color="231F20"/>
            </w:tcBorders>
            <w:shd w:fill="C0C1C4" w:val="clear"/>
            <w:tcMar>
              <w:top w:w="30" w:type="dxa"/>
              <w:bottom w:w="0" w:type="dxa"/>
            </w:tcMar>
            <w:vAlign w:val="center"/>
          </w:tcPr>
          <w:p>
            <w:pPr>
              <w:pStyle w:val="TableContents"/>
              <w:bidi w:val="0"/>
              <w:spacing w:lineRule="auto" w:line="321" w:before="0" w:after="160"/>
              <w:jc w:val="center"/>
              <w:rPr>
                <w:rFonts w:ascii="Times New Roman;serif" w:hAnsi="Times New Roman;serif"/>
                <w:b/>
                <w:color w:val="231F20"/>
                <w:sz w:val="22"/>
              </w:rPr>
            </w:pPr>
            <w:r>
              <w:rPr>
                <w:rFonts w:ascii="Times New Roman;serif" w:hAnsi="Times New Roman;serif"/>
                <w:b/>
                <w:color w:val="231F20"/>
                <w:sz w:val="22"/>
              </w:rPr>
              <w:t>PSUs Earned</w:t>
            </w:r>
          </w:p>
        </w:tc>
      </w:tr>
      <w:tr>
        <w:trPr/>
        <w:tc>
          <w:tcPr>
            <w:tcW w:w="1994" w:type="dxa"/>
            <w:gridSpan w:val="3"/>
            <w:tcBorders>
              <w:top w:val="single" w:sz="16" w:space="0" w:color="231F20"/>
              <w:left w:val="single" w:sz="16" w:space="0" w:color="231F2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Below Threshold</w:t>
            </w:r>
          </w:p>
        </w:tc>
        <w:tc>
          <w:tcPr>
            <w:tcW w:w="1214" w:type="dxa"/>
            <w:gridSpan w:val="3"/>
            <w:tcBorders>
              <w:top w:val="single" w:sz="16" w:space="0" w:color="231F20"/>
              <w:left w:val="single" w:sz="16"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231F20"/>
              <w:left w:val="single" w:sz="16" w:space="0" w:color="231F20"/>
              <w:right w:val="single" w:sz="16" w:space="0" w:color="231F2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0%</w:t>
            </w:r>
          </w:p>
        </w:tc>
      </w:tr>
      <w:tr>
        <w:trPr/>
        <w:tc>
          <w:tcPr>
            <w:tcW w:w="1994" w:type="dxa"/>
            <w:gridSpan w:val="3"/>
            <w:tcBorders>
              <w:top w:val="single" w:sz="16" w:space="0" w:color="231F20"/>
              <w:left w:val="single" w:sz="16" w:space="0" w:color="231F2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Threshold</w:t>
            </w:r>
          </w:p>
        </w:tc>
        <w:tc>
          <w:tcPr>
            <w:tcW w:w="1214" w:type="dxa"/>
            <w:gridSpan w:val="3"/>
            <w:tcBorders>
              <w:top w:val="single" w:sz="16" w:space="0" w:color="231F20"/>
              <w:left w:val="single" w:sz="16"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231F20"/>
              <w:left w:val="single" w:sz="16" w:space="0" w:color="231F20"/>
              <w:right w:val="single" w:sz="16" w:space="0" w:color="231F2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50%</w:t>
            </w:r>
          </w:p>
        </w:tc>
      </w:tr>
      <w:tr>
        <w:trPr/>
        <w:tc>
          <w:tcPr>
            <w:tcW w:w="1994" w:type="dxa"/>
            <w:gridSpan w:val="3"/>
            <w:tcBorders>
              <w:top w:val="single" w:sz="16" w:space="0" w:color="231F20"/>
              <w:left w:val="single" w:sz="16" w:space="0" w:color="231F2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Target</w:t>
            </w:r>
          </w:p>
        </w:tc>
        <w:tc>
          <w:tcPr>
            <w:tcW w:w="1214" w:type="dxa"/>
            <w:gridSpan w:val="3"/>
            <w:tcBorders>
              <w:top w:val="single" w:sz="16" w:space="0" w:color="231F20"/>
              <w:left w:val="single" w:sz="16"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231F20"/>
              <w:left w:val="single" w:sz="16" w:space="0" w:color="231F20"/>
              <w:right w:val="single" w:sz="16" w:space="0" w:color="231F2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100%</w:t>
            </w:r>
          </w:p>
        </w:tc>
      </w:tr>
      <w:tr>
        <w:trPr/>
        <w:tc>
          <w:tcPr>
            <w:tcW w:w="1994" w:type="dxa"/>
            <w:gridSpan w:val="3"/>
            <w:tcBorders>
              <w:top w:val="single" w:sz="16" w:space="0" w:color="231F20"/>
              <w:left w:val="single" w:sz="16" w:space="0" w:color="231F2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High</w:t>
            </w:r>
          </w:p>
        </w:tc>
        <w:tc>
          <w:tcPr>
            <w:tcW w:w="1214" w:type="dxa"/>
            <w:gridSpan w:val="3"/>
            <w:tcBorders>
              <w:top w:val="single" w:sz="16" w:space="0" w:color="231F20"/>
              <w:left w:val="single" w:sz="16"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231F20"/>
              <w:left w:val="single" w:sz="16" w:space="0" w:color="231F20"/>
              <w:right w:val="single" w:sz="16" w:space="0" w:color="231F2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200%</w:t>
            </w:r>
          </w:p>
        </w:tc>
      </w:tr>
      <w:tr>
        <w:trPr/>
        <w:tc>
          <w:tcPr>
            <w:tcW w:w="1994" w:type="dxa"/>
            <w:gridSpan w:val="3"/>
            <w:tcBorders>
              <w:top w:val="single" w:sz="16" w:space="0" w:color="231F20"/>
              <w:left w:val="single" w:sz="16" w:space="0" w:color="231F20"/>
              <w:bottom w:val="single" w:sz="16" w:space="0" w:color="231F2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Overachievement</w:t>
            </w:r>
          </w:p>
        </w:tc>
        <w:tc>
          <w:tcPr>
            <w:tcW w:w="1214" w:type="dxa"/>
            <w:gridSpan w:val="3"/>
            <w:tcBorders>
              <w:top w:val="single" w:sz="16" w:space="0" w:color="231F20"/>
              <w:left w:val="single" w:sz="16" w:space="0" w:color="231F20"/>
              <w:bottom w:val="single" w:sz="16" w:space="0" w:color="231F20"/>
            </w:tcBorders>
            <w:tcMar>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231F20"/>
              <w:left w:val="single" w:sz="16" w:space="0" w:color="231F20"/>
              <w:bottom w:val="single" w:sz="16" w:space="0" w:color="231F20"/>
              <w:right w:val="single" w:sz="16" w:space="0" w:color="231F20"/>
            </w:tcBorders>
            <w:tcMar>
              <w:top w:w="30" w:type="dxa"/>
              <w:bottom w:w="30" w:type="dxa"/>
            </w:tcMar>
            <w:vAlign w:val="center"/>
          </w:tcPr>
          <w:p>
            <w:pPr>
              <w:pStyle w:val="TableContents"/>
              <w:bidi w:val="0"/>
              <w:spacing w:lineRule="auto" w:line="321" w:before="0" w:after="160"/>
              <w:jc w:val="center"/>
              <w:rPr>
                <w:rFonts w:ascii="Times New Roman;serif" w:hAnsi="Times New Roman;serif"/>
                <w:b w:val="false"/>
                <w:color w:val="231F20"/>
                <w:sz w:val="22"/>
              </w:rPr>
            </w:pPr>
            <w:r>
              <w:rPr>
                <w:rFonts w:ascii="Times New Roman;serif" w:hAnsi="Times New Roman;serif"/>
                <w:b w:val="false"/>
                <w:color w:val="231F20"/>
                <w:sz w:val="22"/>
              </w:rPr>
              <w:t>250%</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the performance matrix above may be adjusted by the Committee under the terms of the Plan, including pursuant to Section 14 or Section 9.3 of the Plan.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Number of PSUs Earned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the Performance Period, on the Committee Determination Date, the Committee shall determine whether and to what extent the goals relating to the Management Objectives have been satisfied for the Performance Period and shall determine the number of PSUs that shall become nonforfeitable hereunder and under the Agreement on the basis of the following:</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Below Threshold</w:t>
      </w:r>
      <w:r>
        <w:rPr>
          <w:rFonts w:ascii="Times New Roman;serif" w:hAnsi="Times New Roman;serif"/>
          <w:b w:val="false"/>
          <w:color w:val="000000"/>
          <w:sz w:val="22"/>
        </w:rPr>
        <w:t>. If, upon the conclusion of the Performance Period, the Stock Price for the Performance Period falls below the threshold level, as set forth in the Performance Matrix, no PSUs shall become nonforfeitable.</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Threshold</w:t>
      </w:r>
      <w:r>
        <w:rPr>
          <w:rFonts w:ascii="Times New Roman;serif" w:hAnsi="Times New Roman;serif"/>
          <w:b w:val="false"/>
          <w:color w:val="000000"/>
          <w:sz w:val="22"/>
        </w:rPr>
        <w:t>. If, upon the conclusion of the Performance Period, Stock Price for the Performance Period equals the threshold level, as set forth in the Performance Matrix, 50% of the PSUs (rounded down to the nearest whole number of PSUs) shall become nonforfeitable.</w:t>
      </w:r>
    </w:p>
    <w:p>
      <w:pPr>
        <w:pStyle w:val="TextBody"/>
        <w:bidi w:val="0"/>
        <w:spacing w:before="0" w:after="240"/>
        <w:jc w:val="left"/>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Between Threshold and Target</w:t>
      </w:r>
      <w:r>
        <w:rPr>
          <w:rFonts w:ascii="Times New Roman;serif" w:hAnsi="Times New Roman;serif"/>
          <w:b w:val="false"/>
          <w:color w:val="000000"/>
          <w:sz w:val="22"/>
        </w:rPr>
        <w:t>. If, upon the conclusion of the Performance Period, the Stock Price for the Performance Period exceeds the threshold level, but is less than the target level, as set forth in the Performance Matrix, a percentage between 50% and 100% (determined on the basis of straight-line mathematical interpolation) of the PSUs (rounded down to the nearest whole number of PSUs) shall become nonforfeitable.</w:t>
      </w:r>
    </w:p>
    <w:p>
      <w:pPr>
        <w:pStyle w:val="TextBody"/>
        <w:bidi w:val="0"/>
        <w:spacing w:before="0" w:after="24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Target</w:t>
      </w:r>
      <w:r>
        <w:rPr>
          <w:rFonts w:ascii="Times New Roman;serif" w:hAnsi="Times New Roman;serif"/>
          <w:b w:val="false"/>
          <w:color w:val="000000"/>
          <w:sz w:val="22"/>
        </w:rPr>
        <w:t>. If, upon the conclusion of the Performance Period, the Stock Price for the Performance Period equals the target level, as set forth in the Performance Matrix, 100% of the PSUs shall become nonforfeitable.</w:t>
      </w:r>
    </w:p>
    <w:p>
      <w:pPr>
        <w:pStyle w:val="TextBody"/>
        <w:bidi w:val="0"/>
        <w:spacing w:before="0" w:after="240"/>
        <w:jc w:val="left"/>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Between Target and High</w:t>
      </w:r>
      <w:r>
        <w:rPr>
          <w:rFonts w:ascii="Times New Roman;serif" w:hAnsi="Times New Roman;serif"/>
          <w:b w:val="false"/>
          <w:color w:val="000000"/>
          <w:sz w:val="22"/>
        </w:rPr>
        <w:t>. If, upon the conclusion of the Performance Period, the Stock Price for the Performance Period exceeds the target level, but is less than the high level, as set forth in the Performance Matrix, a percentage between 100% and 200% (determined on the basis of straight-line mathematical interpolation) of the PSUs (rounded down to the nearest whole number of PSUs) shall become nonforfeitable.</w:t>
      </w:r>
    </w:p>
    <w:p>
      <w:pPr>
        <w:pStyle w:val="TextBody"/>
        <w:bidi w:val="0"/>
        <w:spacing w:before="0" w:after="240"/>
        <w:jc w:val="left"/>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High</w:t>
      </w:r>
      <w:r>
        <w:rPr>
          <w:rFonts w:ascii="Times New Roman;serif" w:hAnsi="Times New Roman;serif"/>
          <w:b w:val="false"/>
          <w:color w:val="000000"/>
          <w:sz w:val="22"/>
        </w:rPr>
        <w:t>. If, upon the conclusion of the Performance Period, the Stock Price for the Performance Period equals the high level, as set forth in the Performance Matrix, 200% of the PSUs shall become nonforfeitable.</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Between High and Overachievement</w:t>
      </w:r>
      <w:r>
        <w:rPr>
          <w:rFonts w:ascii="Times New Roman;serif" w:hAnsi="Times New Roman;serif"/>
          <w:b w:val="false"/>
          <w:color w:val="000000"/>
          <w:sz w:val="22"/>
        </w:rPr>
        <w:t>. If, upon the conclusion of the Performance Period, the Stock Price for the Performance Period exceeds the high level, but is less than the overachievement level, as set forth in the Performance Matrix, a percentage between 200% and 250% (determined on the basis of straight-line mathematical interpolation) of the PSUs (rounded down to the nearest whole number of PSUs) shall become nonforfeitable.</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Equals or Exceeds Overachievement</w:t>
      </w:r>
      <w:r>
        <w:rPr>
          <w:rFonts w:ascii="Times New Roman;serif" w:hAnsi="Times New Roman;serif"/>
          <w:b w:val="false"/>
          <w:color w:val="000000"/>
          <w:sz w:val="22"/>
        </w:rPr>
        <w:t>. If, upon the conclusion of the Performance Period, the Stock Price for the Performance Period equals or exceeds the overachievement level, as set forth in the Performance Matrix, 250% of the PSUs shall become nonforfeitable.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UNITS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(NON-EMPLOYEE DIRECTOR FORM – STANDARD ANNUAL)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RESTRICTED STOCK UNITS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as of [●] (the “</w:t>
      </w:r>
      <w:r>
        <w:rPr>
          <w:rFonts w:ascii="Times New Roman;serif" w:hAnsi="Times New Roman;serif"/>
          <w:b/>
          <w:color w:val="000000"/>
          <w:sz w:val="22"/>
        </w:rPr>
        <w:t>Date of Grant</w:t>
      </w:r>
      <w:r>
        <w:rPr>
          <w:color w:val="000000"/>
        </w:rPr>
        <w:t>”</w:t>
      </w:r>
      <w:r>
        <w:rPr>
          <w:rFonts w:ascii="Times New Roman;serif" w:hAnsi="Times New Roman;serif"/>
          <w:b w:val="false"/>
          <w:color w:val="000000"/>
          <w:sz w:val="22"/>
        </w:rPr>
        <w:t>), by and between Enviri Corporation, a Delaware corporation, and [PARTICIPANT NAME]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Capitalized terms used, but not otherwise defined, in this Agreement will have the meanings given to such terms in the Company’s 2026 Omnibus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Grant of RSUs</w:t>
      </w:r>
      <w:r>
        <w:rPr>
          <w:rFonts w:ascii="Times New Roman;serif" w:hAnsi="Times New Roman;serif"/>
          <w:b w:val="false"/>
          <w:color w:val="000000"/>
          <w:sz w:val="22"/>
        </w:rPr>
        <w:t>. Subject to and upon the terms, conditions and restrictions set forth in this Agreement and in the Plan, the Company grants to the Participant, as of the Date of Grant, [NUMBER] Restricted Stock Units (“</w:t>
      </w:r>
      <w:r>
        <w:rPr>
          <w:rFonts w:ascii="Times New Roman;serif" w:hAnsi="Times New Roman;serif"/>
          <w:b/>
          <w:color w:val="000000"/>
          <w:sz w:val="22"/>
        </w:rPr>
        <w:t>RSUs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Restrictions on Transfer of RSUs</w:t>
      </w:r>
      <w:r>
        <w:rPr>
          <w:rFonts w:ascii="Times New Roman;serif" w:hAnsi="Times New Roman;serif"/>
          <w:b w:val="false"/>
          <w:color w:val="000000"/>
          <w:sz w:val="22"/>
        </w:rPr>
        <w:t xml:space="preserve">. Neither the RSUs granted hereby nor any interest therein or in the Common Stock related thereto shall be transferable prior to payment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other than by will or pursuant to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Vesting of RSUs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RSUs covered by this Agreement shall vest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if the Participant remains in Continuous Service through the first anniversary of the Date of Grant (the “</w:t>
      </w:r>
      <w:r>
        <w:rPr>
          <w:rFonts w:ascii="Times New Roman;serif" w:hAnsi="Times New Roman;serif"/>
          <w:b/>
          <w:color w:val="000000"/>
          <w:sz w:val="22"/>
        </w:rPr>
        <w:t>Vesting Date</w:t>
      </w:r>
      <w:r>
        <w:rPr>
          <w:color w:val="000000"/>
        </w:rPr>
        <w:t>”</w:t>
      </w:r>
      <w:r>
        <w:rPr>
          <w:rFonts w:ascii="Times New Roman;serif" w:hAnsi="Times New Roman;serif"/>
          <w:b w:val="false"/>
          <w:color w:val="000000"/>
          <w:sz w:val="22"/>
        </w:rPr>
        <w:t>). Any RSUs that do not become nonforfeitable on a Vesting Date will be forfeited if the Participant’s Continuous Service ceases prior to the Vesting Date.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Notwithstanding Section 4(a) above, in the event the Participant’s Continuous Service terminates prior to a Vesting Date, a prorated portion of the RSUs that would have otherwise vested and become nonforfeitable on such Vesting Date (the “</w:t>
      </w:r>
      <w:r>
        <w:rPr>
          <w:rFonts w:ascii="Times New Roman;serif" w:hAnsi="Times New Roman;serif"/>
          <w:b/>
          <w:color w:val="000000"/>
          <w:sz w:val="22"/>
        </w:rPr>
        <w:t>Eligible RSUs</w:t>
      </w:r>
      <w:r>
        <w:rPr>
          <w:color w:val="000000"/>
        </w:rPr>
        <w:t>”</w:t>
      </w:r>
      <w:r>
        <w:rPr>
          <w:rFonts w:ascii="Times New Roman;serif" w:hAnsi="Times New Roman;serif"/>
          <w:b w:val="false"/>
          <w:color w:val="000000"/>
          <w:sz w:val="22"/>
        </w:rPr>
        <w:t>) shall vest and become nonforfeitable, with such prorated portion determined by multiplying the number of Eligible RSUs by a fraction (the numerator of which equals the number of days from (and including) the later of the Date of Grant and the most recent Vesting Date and the denominator of which equals the sum of (i) the numerator and (ii) the number of days until (and including) the next Vesting Date) and rounding to the nearest whole number.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Notwithstanding the foregoing, the RSUs shall vest in full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upon the occurrence of any of the following events at a time when the RSUs have not been forfeited (to the extent the RSUs have not previously become nonforfeitable): (i) the Participant’s death or Disability, (ii) the Participant’s “separation from service” (as such term is defined in Treasury Regulations Section 1.409A-1(h) without regard to any alternative definition thereunder) on or after age 72, or (iii) immediately prior to a Change in Control, in each case, during the Participant’s Continuous Service.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Form and Time of Payment of RSUs</w:t>
      </w:r>
      <w:r>
        <w:rPr>
          <w:rFonts w:ascii="Times New Roman;serif" w:hAnsi="Times New Roman;serif"/>
          <w:b w:val="false"/>
          <w:color w:val="000000"/>
          <w:sz w:val="22"/>
        </w:rPr>
        <w:t xml:space="preserve">. </w:t>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Payment for the RSUs, after and to the extent they have become nonforfeitable, shall be made in shares of Common Stock. Except as provided in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5(c)</w:t>
      </w:r>
      <w:r>
        <w:rPr>
          <w:rFonts w:ascii="Times New Roman;serif" w:hAnsi="Times New Roman;serif"/>
          <w:b w:val="false"/>
          <w:color w:val="000000"/>
          <w:sz w:val="22"/>
        </w:rPr>
        <w:t xml:space="preserve">, payment shall be made within 70 days following the date that the RSUs become nonforfeitable pursuant to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If the Participant is deemed by the Company at the time of the Participant’s “separation from service” (as such term is defined in Treasury Regulations Section 1.409A-1(h) without regard to any alternative definition thereunder) with the Company to be a “specified employee” for purposes of Section 409A(a)(2)(B)(i) of the Code, and if any of the payments upon such separation from service set forth herein are deemed to be “deferred compensation” within the meaning of Section 409A of the Code, then to the extent delayed commencement of any portion of such payments is required to avoid a prohibited distribution under Section 409A(a)(2)(B)(i) of the Code and the related adverse taxation under Section 409A of the Code, such payments will not be provided to the Participant prior to the earliest of (i) the date that is six months and one day after the date of such separation from service, (ii) the date of the Participant’s death, or (iii) such earlier date as permitted under Section 409A of the Code without the</w:t>
      </w:r>
      <w:r>
        <w:rPr>
          <w:color w:val="000000"/>
        </w:rPr>
        <w:t xml:space="preserve"> </w:t>
      </w:r>
      <w:r>
        <w:rPr>
          <w:rFonts w:ascii="Times New Roman;serif" w:hAnsi="Times New Roman;serif"/>
          <w:b w:val="false"/>
          <w:color w:val="000000"/>
          <w:sz w:val="22"/>
        </w:rPr>
        <w:t>imposition of adverse taxation. Upon the first business day following the expiration of such period, all payments deferred pursuant to this Section 5(c) will be paid in a lump sum to the Participant, and any remaining payments due will be paid as otherwise provided herein.</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Company’s obligations to the Participant with respect to the RSUs will be satisfied in full upon the issuance of Common Stock corresponding to such RSUs.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Voting and Other Rights; Dividend Equivalents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Participant shall have no rights of ownership in the Common Stock underlying the RSUs and no right to vote the Common Stock underlying the RSUs until the date on which the shares of Common Stock underlying the RSUs are issued or transferred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From and after the Date of Grant and until the earlier of (i) the time when the RSUs become nonforfeitable and are paid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hereof or (ii) the time when the Participant’s right to receive Common Stock in payment of the RSUs is forfeited in accordance with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hereof, on the date that the Company pays a cash dividend (if any) to holders of Common Stock generally, the Participant shall become entitled to receive (subject to the following sentence) a number of additional whole RSUs determined by dividing (x) the product of (1) the dollar amount of the cash dividend paid per share of Common Stock on such date and (2) the total number of RSUs (including dividend equivalents) previously credited to the Participant as of such date, by (y) the Fair Market Value on such date. Such dividend equivalents (if any) shall be subject to the same terms and conditions and shall be paid or forfeited in the same manner and at the same time as the RSUs to which the dividend equivalents were credited.</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obligations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Adjustments</w:t>
      </w:r>
      <w:r>
        <w:rPr>
          <w:rFonts w:ascii="Times New Roman;serif" w:hAnsi="Times New Roman;serif"/>
          <w:b w:val="false"/>
          <w:color w:val="000000"/>
          <w:sz w:val="22"/>
        </w:rPr>
        <w:t xml:space="preserve">. The RSUs and their terms under this Agreement are subject to mandatory adjustment under the terms of </w:t>
      </w:r>
      <w:r>
        <w:rPr>
          <w:rFonts w:ascii="Times New Roman;serif" w:hAnsi="Times New Roman;serif"/>
          <w:b w:val="false"/>
          <w:color w:val="000000"/>
          <w:sz w:val="22"/>
          <w:u w:val="single"/>
        </w:rPr>
        <w:t>Section 14</w:t>
      </w:r>
      <w:r>
        <w:rPr>
          <w:color w:val="000000"/>
        </w:rPr>
        <w:t xml:space="preserve"> </w:t>
      </w:r>
      <w:r>
        <w:rPr>
          <w:rFonts w:ascii="Times New Roman;serif" w:hAnsi="Times New Roman;serif"/>
          <w:b w:val="false"/>
          <w:color w:val="000000"/>
          <w:sz w:val="22"/>
        </w:rPr>
        <w:t>of the Plan.</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Compliance With Applicable Laws</w:t>
      </w:r>
      <w:r>
        <w:rPr>
          <w:rFonts w:ascii="Times New Roman;serif" w:hAnsi="Times New Roman;serif"/>
          <w:b w:val="false"/>
          <w:color w:val="000000"/>
          <w:sz w:val="22"/>
        </w:rPr>
        <w:t>. The Company shall make reasonable efforts to comply with all Applicable Laws; provided, however, that notwithstanding any other provision of the Plan and this Agreement, the Company shall not be obligated to issue any Common Stock pursuant to this Agreement if the issuance thereof would result in a violation of any Applicable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Withholding Obligations</w:t>
      </w:r>
      <w:r>
        <w:rPr>
          <w:rFonts w:ascii="Times New Roman;serif" w:hAnsi="Times New Roman;serif"/>
          <w:b w:val="false"/>
          <w:color w:val="000000"/>
          <w:sz w:val="22"/>
        </w:rPr>
        <w:t xml:space="preserve">. The Company and its Affiliates may withhold from any payment of cash or distribution of shares of Common Stock or other property to the Participant under this Agreement an amount or number of shares sufficient to cover any required tax withholding with respect to such payment, including up to the maximum allowable withholding, or may take such other action as the Company deems necessary to satisfy any income or other tax withholding requirements arising as a result of the grant or settlement of the RSUs. The Company and its Affiliates may, as a condition to any payment pursuant to this Agreement, require the payment of any such taxes and require that the Participant furnish any information necessary to meet any applicable tax reporting obligation. Subject to prior approval by the Committee and compliance with Applicable Laws, the Participant may, in satisfaction of his or her obligation to pay tax withholding in connection with the vesting or other settlement of the RSUs, elect to: (i) make a cash payment to the Company or its Affiliates; (ii) have withheld a portion of the shares of Common Stock then issuable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(iii) surrender shares of Common Stock owned by the Participant prior to the vesting or other settlement of the RSUs; or (iv) utilize a cashless settlement procedure through a registered broker-dealer pursuant to such cashless settlement procedures as are, from time to time, deemed acceptable by the Committee. For purposes of clauses (ii) and (iii), the shares of Common Stock subject to such election shall have a Fair Market Value equal to the applicable tax withholding amount. In the event that the amount of the Company’s or its Affiliates’ withholding obligation in connection with the RSUs exceeds the amount actually withheld by the Company and its Affiliates, the Participant agrees to indemnify and hold harmless the Company and its Affiliates from any liability arising from any failure by the Company and its Affiliates to withhold the proper amount.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Any reference in this Agreement to Section 409A of the Code will also include any proposed, temporary or final regulations, or any other guidance, promulgated with respect to such Section by the U.S. Department of the Treasury or the Internal Revenue Service. Except as expressly provided in this Agreement, capitalized terms used herein will have the meaning ascribed to such terms in the Plan.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No Employment Rights</w:t>
      </w:r>
      <w:r>
        <w:rPr>
          <w:rFonts w:ascii="Times New Roman;serif" w:hAnsi="Times New Roman;serif"/>
          <w:b w:val="false"/>
          <w:color w:val="000000"/>
          <w:sz w:val="22"/>
        </w:rPr>
        <w:t xml:space="preserve">. The grant of the RSUs under this Agreement to the Participant is a 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be employed or remain employed by the Company or any of its Subsidiaries, nor limit or affect in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manner the right of the Company or any of its Subsidiaries to terminate the employment or adjust the compensation of the Participant.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Relation to Other Benefits</w:t>
      </w:r>
      <w:r>
        <w:rPr>
          <w:rFonts w:ascii="Times New Roman;serif" w:hAnsi="Times New Roman;serif"/>
          <w:b w:val="false"/>
          <w:color w:val="000000"/>
          <w:sz w:val="22"/>
        </w:rPr>
        <w:t>. Any economic or other benefit to the Participant under this Agreement or the Plan shall not be taken into account in determining any benefits to which the Participant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Amendments</w:t>
      </w:r>
      <w:r>
        <w:rPr>
          <w:rFonts w:ascii="Times New Roman;serif" w:hAnsi="Times New Roman;serif"/>
          <w:b w:val="false"/>
          <w:color w:val="000000"/>
          <w:sz w:val="22"/>
        </w:rPr>
        <w:t>. Any amendment to the Plan shall be deemed to be an amendment to this Agreement to the extent that the amendment is applicable hereto; provided, however, that no amendment shall materially impair affect the rights of the Participant under this Agreement without the Participant’s written consent.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Relation to Plan</w:t>
      </w:r>
      <w:r>
        <w:rPr>
          <w:rFonts w:ascii="Times New Roman;serif" w:hAnsi="Times New Roman;serif"/>
          <w:b w:val="false"/>
          <w:color w:val="000000"/>
          <w:sz w:val="22"/>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In addition, the RSUs shall be subject to the terms and conditions of the Company’s Incentive Compensation Recoupment Policy in effect on the Date of Grant as if such RSUs were “Incentive-Based Compensation” (as such term is defined in such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hereof, the provisions of this Agreement shall inure to the benefit of, and be binding upon, the successors, administrators, heirs, legal representatives and assigns of the Participant, and the successors and assigns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will be construed under the laws of the State of Delaware, without regard to its conflict of law provisions, and the parties consent and agree that the federal and state courts of the State of Delaware will have exclusive jurisdiction over any dispute relating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Acknowledgement</w:t>
      </w:r>
      <w:r>
        <w:rPr>
          <w:rFonts w:ascii="Times New Roman;serif" w:hAnsi="Times New Roman;serif"/>
          <w:b w:val="false"/>
          <w:color w:val="000000"/>
          <w:sz w:val="22"/>
        </w:rPr>
        <w:t>. The Participant acknowledges that the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will constitute one and the same agreement.</w:t>
      </w:r>
    </w:p>
    <w:p>
      <w:pPr>
        <w:pStyle w:val="TextBody"/>
        <w:bidi w:val="0"/>
        <w:spacing w:before="0" w:after="240"/>
        <w:jc w:val="left"/>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Agreement to be executed on its behalf by its duly authorized officer and the Participant has executed this Agreement, effective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acknowledges receipt of an executed version of this Agreement and accepts the award of RSUs granted hereunder on the terms and conditions set forth herein and in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DEFERRED STOCK UNITS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(NON-EMPLOYEE DIRECTOR FORM – DEFERRED CASH)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DEFERRED STOCK UNITS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as of [●] (the “</w:t>
      </w:r>
      <w:r>
        <w:rPr>
          <w:rFonts w:ascii="Times New Roman;serif" w:hAnsi="Times New Roman;serif"/>
          <w:b/>
          <w:color w:val="000000"/>
          <w:sz w:val="22"/>
        </w:rPr>
        <w:t>Date of Grant</w:t>
      </w:r>
      <w:r>
        <w:rPr>
          <w:color w:val="000000"/>
        </w:rPr>
        <w:t>”</w:t>
      </w:r>
      <w:r>
        <w:rPr>
          <w:rFonts w:ascii="Times New Roman;serif" w:hAnsi="Times New Roman;serif"/>
          <w:b w:val="false"/>
          <w:color w:val="000000"/>
          <w:sz w:val="22"/>
        </w:rPr>
        <w:t>), by and between Enviri Corporation, a Delaware corporation, and [PARTICIPANT NAME]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Capitalized terms used, but not otherwise defined, in this Agreement will have the meanings given to such terms in the Company’s 2026 Omnibus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Grant of Deferred Stock Units</w:t>
      </w:r>
      <w:r>
        <w:rPr>
          <w:rFonts w:ascii="Times New Roman;serif" w:hAnsi="Times New Roman;serif"/>
          <w:b w:val="false"/>
          <w:color w:val="000000"/>
          <w:sz w:val="22"/>
        </w:rPr>
        <w:t>. Subject to and upon the terms, conditions and restrictions set forth in this Agreement and in the Plan, the Company grants to the Participant, as of the Date of Grant, [NUMBER] Deferred Stock Units (“D</w:t>
      </w:r>
      <w:r>
        <w:rPr>
          <w:rFonts w:ascii="Times New Roman;serif" w:hAnsi="Times New Roman;serif"/>
          <w:b/>
          <w:color w:val="000000"/>
          <w:sz w:val="22"/>
        </w:rPr>
        <w:t>SUs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Restrictions on Transfer of DSUs</w:t>
      </w:r>
      <w:r>
        <w:rPr>
          <w:rFonts w:ascii="Times New Roman;serif" w:hAnsi="Times New Roman;serif"/>
          <w:b w:val="false"/>
          <w:color w:val="000000"/>
          <w:sz w:val="22"/>
        </w:rPr>
        <w:t xml:space="preserve">. Neither the DSUs granted hereby nor any interest therein or in the Common Stock related thereto shall be transferable prior to payment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other than by will or pursuant to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Vesting of DSUs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DSUs covered by this Agreement shall vest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if the Participant remains in Continuous Service through the following vesting dates (each, a “</w:t>
      </w:r>
      <w:r>
        <w:rPr>
          <w:rFonts w:ascii="Times New Roman;serif" w:hAnsi="Times New Roman;serif"/>
          <w:b/>
          <w:color w:val="000000"/>
          <w:sz w:val="22"/>
        </w:rPr>
        <w:t>Vesting Date</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tbl>
      <w:tblPr>
        <w:tblW w:w="5773" w:type="dxa"/>
        <w:jc w:val="left"/>
        <w:tblInd w:w="0" w:type="dxa"/>
        <w:tblLayout w:type="fixed"/>
        <w:tblCellMar>
          <w:top w:w="28" w:type="dxa"/>
          <w:left w:w="28" w:type="dxa"/>
          <w:bottom w:w="28" w:type="dxa"/>
          <w:right w:w="28" w:type="dxa"/>
        </w:tblCellMar>
      </w:tblPr>
      <w:tblGrid>
        <w:gridCol w:w="1248"/>
        <w:gridCol w:w="1098"/>
        <w:gridCol w:w="1103"/>
        <w:gridCol w:w="679"/>
        <w:gridCol w:w="679"/>
        <w:gridCol w:w="966"/>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Percentage of Total DSUs Vesting</w:t>
            </w:r>
          </w:p>
        </w:tc>
        <w:tc>
          <w:tcPr>
            <w:tcW w:w="23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Vesting Date</w:t>
            </w:r>
          </w:p>
        </w:tc>
      </w:tr>
      <w:tr>
        <w:trPr/>
        <w:tc>
          <w:tcPr>
            <w:tcW w:w="34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3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March 31, [YEAR]</w:t>
            </w:r>
          </w:p>
        </w:tc>
      </w:tr>
      <w:tr>
        <w:trPr/>
        <w:tc>
          <w:tcPr>
            <w:tcW w:w="34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3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June 30, [YEAR]</w:t>
            </w:r>
          </w:p>
        </w:tc>
      </w:tr>
      <w:tr>
        <w:trPr/>
        <w:tc>
          <w:tcPr>
            <w:tcW w:w="34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3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September 30, [YEAR]</w:t>
            </w:r>
          </w:p>
        </w:tc>
      </w:tr>
      <w:tr>
        <w:trPr/>
        <w:tc>
          <w:tcPr>
            <w:tcW w:w="34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32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December 31, [YEAR]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DSUs that do not become nonforfeitable on a Vesting Date will be forfeited if the Participant’s Continuous Service ceases prior to such Vesting Date.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Notwithstanding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above, in the event the Participant’s Continuous Service terminates prior to a Vesting Date, a prorated portion of the DSUs that would have otherwise vested and become nonforfeitable on such Vesting Date (the “</w:t>
      </w:r>
      <w:r>
        <w:rPr>
          <w:rFonts w:ascii="Times New Roman;serif" w:hAnsi="Times New Roman;serif"/>
          <w:b/>
          <w:color w:val="000000"/>
          <w:sz w:val="22"/>
        </w:rPr>
        <w:t>Eligible DSUs</w:t>
      </w:r>
      <w:r>
        <w:rPr>
          <w:color w:val="000000"/>
        </w:rPr>
        <w:t>”</w:t>
      </w:r>
      <w:r>
        <w:rPr>
          <w:rFonts w:ascii="Times New Roman;serif" w:hAnsi="Times New Roman;serif"/>
          <w:b w:val="false"/>
          <w:color w:val="000000"/>
          <w:sz w:val="22"/>
        </w:rPr>
        <w:t>) shall vest and become nonforfeitable, with such prorated portion determined by multiplying the number of Eligible DSUs by a fraction (the numerator of which equals the number of days from (and including) the later of the Date of Grant and the most recent Vesting Date and the denominator of which equals the sum of (i) the numerator and (ii) the number of days until (and including) the next Vesting Date) and rounding to the nearest whole number.</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(c)    Notwithstanding the foregoing, the DSUs shall vest in full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upon the occurrence of any of the following events at a time when the DSUs have not been forfeited (to the extent the DSUs have not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previously become nonforfeitable): (i) the Participant’s death or Disability, (ii) the Participant’s “separation from service” (as such term is defined in Treasury Regulations Section 1.409A-1(h) without regard to any alternative definition thereunder) on or after age 72, or (iii) immediately prior to a Change in Control, in each case, during the Participant’s Continuous Service.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Form and Time of Payment of DSUs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Payment for each DSU, after and to the extent it has become nonforfeitable, shall be made in cash in an amount equal to the Fair Market Value on the day prior to the payment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Subject to </w:t>
      </w:r>
      <w:r>
        <w:rPr>
          <w:rFonts w:ascii="Times New Roman;serif" w:hAnsi="Times New Roman;serif"/>
          <w:b w:val="false"/>
          <w:color w:val="000000"/>
          <w:sz w:val="22"/>
          <w:u w:val="single"/>
        </w:rPr>
        <w:t>Section 5(c)</w:t>
      </w:r>
      <w:r>
        <w:rPr>
          <w:color w:val="000000"/>
        </w:rPr>
        <w:t xml:space="preserve"> </w:t>
      </w:r>
      <w:r>
        <w:rPr>
          <w:rFonts w:ascii="Times New Roman;serif" w:hAnsi="Times New Roman;serif"/>
          <w:b w:val="false"/>
          <w:color w:val="000000"/>
          <w:sz w:val="22"/>
        </w:rPr>
        <w:t xml:space="preserve">below, payment shall be made on or after the date that the DSUs vest and become nonforfeitable pursuant to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in [a single lump sum]/[[NUMBER (UP TO 10)] substantially equal annual installments beginning] in [YEAR]/[the year following the year of the Participant’s “separation from service” (as such term is defined in Treasury Regulations Section 1.409A-1(h) without regard to any alternative definition thereunder)]. [Notwithstanding the foregoing, payment shall be made in a single lump sum (i) in the year following the year of the Participant’s death or Disability or (ii) upon a Change in Control, in each case, to the extent unpaid as of such event.] </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If the Participant is deemed by the Company at the time of the Participant’s “separation from service” (as such term is defined in Treasury Regulations Section 1.409A-1(h) without regard to any alternative definition thereunder) with the Company to be a “specified employee” for purposes of Section 409A(a)(2)(B)(i) of the Code, and if any of the payments upon such separation from service set forth herein are deemed to be “deferred compensation” within the meaning of Section 409A of the Code, then to the extent delayed commencement of any portion of such payments is required to avoid a prohibited distribution under Section 409A(a)(2)(B)(i) of the Code and the related adverse taxation under Section 409A of the Code, such payments will not be provided to the Participant prior to the earliest of (i) the date that is six months and one day after the date of such separation from service, (ii) the date of the Participant’s death, or (iii) such earlier date as permitted under Section 409A of the Code without the</w:t>
      </w:r>
      <w:r>
        <w:rPr>
          <w:color w:val="000000"/>
        </w:rPr>
        <w:t xml:space="preserve"> </w:t>
      </w:r>
      <w:r>
        <w:rPr>
          <w:rFonts w:ascii="Times New Roman;serif" w:hAnsi="Times New Roman;serif"/>
          <w:b w:val="false"/>
          <w:color w:val="000000"/>
          <w:sz w:val="22"/>
        </w:rPr>
        <w:t>imposition of adverse taxation. Upon the first business day following the expiration of such period, all payments deferred pursuant to this Section 5(c) will be paid in a lump sum to the Participant, and any remaining payments due will be paid as otherwise provided herein.</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Company’s obligations to the Participant with respect to the DSUs will be satisfied in full upon payment in respect of each DSU that has not been forfeited.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Voting and Other Rights; Dividend Equivalents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Participant shall have no rights of ownership in the Common Stock underlying the DSUs and no right to vote the Common Stock underlying the DSUs until the date on which the shares of Common Stock underlying the DSUs are issued or transferred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Participant shall have no right to receive Dividend Equivalents in respect of the DSUs.</w:t>
      </w:r>
    </w:p>
    <w:p>
      <w:pPr>
        <w:pStyle w:val="TextBody"/>
        <w:bidi w:val="0"/>
        <w:spacing w:before="0" w:after="24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obligations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Adjustments</w:t>
      </w:r>
      <w:r>
        <w:rPr>
          <w:rFonts w:ascii="Times New Roman;serif" w:hAnsi="Times New Roman;serif"/>
          <w:b w:val="false"/>
          <w:color w:val="000000"/>
          <w:sz w:val="22"/>
        </w:rPr>
        <w:t xml:space="preserve">. The DSUs and their terms under this Agreement are subject to mandatory adjustment under the terms of </w:t>
      </w:r>
      <w:r>
        <w:rPr>
          <w:rFonts w:ascii="Times New Roman;serif" w:hAnsi="Times New Roman;serif"/>
          <w:b w:val="false"/>
          <w:color w:val="000000"/>
          <w:sz w:val="22"/>
          <w:u w:val="single"/>
        </w:rPr>
        <w:t>Section 14</w:t>
      </w:r>
      <w:r>
        <w:rPr>
          <w:color w:val="000000"/>
        </w:rPr>
        <w:t xml:space="preserve"> </w:t>
      </w:r>
      <w:r>
        <w:rPr>
          <w:rFonts w:ascii="Times New Roman;serif" w:hAnsi="Times New Roman;serif"/>
          <w:b w:val="false"/>
          <w:color w:val="000000"/>
          <w:sz w:val="22"/>
        </w:rPr>
        <w:t>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Compliance With Applicable Laws</w:t>
      </w:r>
      <w:r>
        <w:rPr>
          <w:rFonts w:ascii="Times New Roman;serif" w:hAnsi="Times New Roman;serif"/>
          <w:b w:val="false"/>
          <w:color w:val="000000"/>
          <w:sz w:val="22"/>
        </w:rPr>
        <w:t>. The Company shall make reasonable efforts to comply with all Applicable Laws; provided, however, that notwithstanding any other provision of the Plan and this Agreement, the Company shall not be obligated to issue any Common Stock pursuant to this Agreement if the issuance thereof would result in a violation of any Applicable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Each installment of DSUs that vests under this award is a “separate payment” for purposes of Treasury Regulations Section 1.409A-2(b)(2).</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Withholding Obligations</w:t>
      </w:r>
      <w:r>
        <w:rPr>
          <w:rFonts w:ascii="Times New Roman;serif" w:hAnsi="Times New Roman;serif"/>
          <w:b w:val="false"/>
          <w:color w:val="000000"/>
          <w:sz w:val="22"/>
        </w:rPr>
        <w:t xml:space="preserve">. The Company and its Affiliates may withhold from any payment of cash or distribution of shares of Common Stock or other property to the Participant under this Agreement an amount or number of shares sufficient to cover any required tax withholding with respect to such payment, including up to the maximum allowable withholding, or may take such other action as the Company deems necessary to satisfy any income or other tax withholding requirements arising as a result of the grant or settlement of the DSUs. The Company and its Affiliates may, as a condition to any payment pursuant to this Agreement, require the payment of any such taxes and require that the Participant furnish any information necessary to meet any applicable tax reporting obligation. Subject to prior approval by the Committee and compliance with Applicable Laws, the Participant may, in satisfaction of his or her obligation to pay tax withholding in connection with the vesting or other settlement of the DSUs, elect to: (i) make a cash payment to the Company or its Affiliates; (ii) have withheld a portion of the shares of Common Stock then issuable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(iii) surrender shares of Common Stock owned by the Participant prior to the vesting or other settlement of the DSUs; or (iv) utilize a cashless settlement procedure through a registered broker-dealer pursuant to such cashless settlement procedures as are, from time to time, deemed acceptable by the Committee. For purposes of clauses (ii) and (iii), the shares of Common Stock subject to such election shall have a Fair Market Value equal to the applicable tax withholding amount. In the event that the amount of the Company’s or its Affiliates’ withholding obligation in connection with the DSUs exceeds the amount actually withheld by the Company and its Affiliates, the Participant agrees to indemnify and hold harmless the Company and its Affiliates from any liability arising from any failure by the Company and its Affiliates to withhold the proper amount.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xml:space="preserve">. Any reference in this Agreement to Section 409A of the Code will also include any proposed, temporary or final regulations, or any other guidance, promulgated with respect to such Section by the U.S. Department of the Treasury or the Internal Revenue Service. Except as expressly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provided in this Agreement, capitalized terms used herein will have the meaning ascribed to such terms in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No Employment Rights</w:t>
      </w:r>
      <w:r>
        <w:rPr>
          <w:rFonts w:ascii="Times New Roman;serif" w:hAnsi="Times New Roman;serif"/>
          <w:b w:val="false"/>
          <w:color w:val="000000"/>
          <w:sz w:val="22"/>
        </w:rPr>
        <w:t>. The grant of the DSUs under this Agreement to the Participant is a voluntary, discretionary award being made on a one-time basis and it does not constitute a commitment to make any future awards. The grant of the DSUs and any payments made hereunder will not be considered salary or other compensation for purposes of any severance pay or similar allowance, except as otherwise required by law. Nothing contained in this Agreement shall confer upon the Participant any right to be employed or remain employed by the Company or any of its Subsidiaries, nor limit or affect in any manner the right of the Company or any of its Subsidiaries to terminate the employment or adjust the compensation of the Participant.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Relation to Other Benefits</w:t>
      </w:r>
      <w:r>
        <w:rPr>
          <w:rFonts w:ascii="Times New Roman;serif" w:hAnsi="Times New Roman;serif"/>
          <w:b w:val="false"/>
          <w:color w:val="000000"/>
          <w:sz w:val="22"/>
        </w:rPr>
        <w:t>. Any economic or other benefit to the Participant under this Agreement or the Plan shall not be taken into account in determining any benefits to which the Participant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Amendments</w:t>
      </w:r>
      <w:r>
        <w:rPr>
          <w:rFonts w:ascii="Times New Roman;serif" w:hAnsi="Times New Roman;serif"/>
          <w:b w:val="false"/>
          <w:color w:val="000000"/>
          <w:sz w:val="22"/>
        </w:rPr>
        <w:t>. Any amendment to the Plan shall be deemed to be an amendment to this Agreement to the extent that the amendment is applicable hereto; provided, however, that no amendment shall materially impair affect the rights of the Participant under this Agreement without the Participant’s written consent.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Relation to Plan</w:t>
      </w:r>
      <w:r>
        <w:rPr>
          <w:rFonts w:ascii="Times New Roman;serif" w:hAnsi="Times New Roman;serif"/>
          <w:b w:val="false"/>
          <w:color w:val="000000"/>
          <w:sz w:val="22"/>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In addition, the DSUs shall be subject to the terms and conditions of the Company’s Incentive Compensation Recoupment Policy in effect on the Date of Grant as if such DSUs were “Incentive-Based Compensation” (as such term is defined in such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rFonts w:ascii="Times New Roman;serif" w:hAnsi="Times New Roman;serif"/>
          <w:b w:val="false"/>
          <w:color w:val="000000"/>
          <w:sz w:val="22"/>
        </w:rPr>
        <w:t>, the provisions of this Agreement shall inure to the benefit of, and be binding upon, the successors, administrators, heirs, legal representatives and assigns of the Participant, and the successors and assigns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will be construed under the laws of the State of Delaware, without regard to its conflict of law provisions, and the parties consent and agree that the federal and state courts of the State of Delaware will have exclusive jurisdiction over any dispute relating to this Agreement.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Acknowledgement</w:t>
      </w:r>
      <w:r>
        <w:rPr>
          <w:rFonts w:ascii="Times New Roman;serif" w:hAnsi="Times New Roman;serif"/>
          <w:b w:val="false"/>
          <w:color w:val="000000"/>
          <w:sz w:val="22"/>
        </w:rPr>
        <w:t xml:space="preserve">. The Participant acknowledges that the Participant (a) has received a copy of the Plan, (b) has had an opportunity to review the terms of this Agreement and the Plan,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understands the terms and conditions of this Agreement and the Plan, and (d) agrees to such terms and conditions.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will constitute one and the same agreement.</w:t>
      </w:r>
    </w:p>
    <w:p>
      <w:pPr>
        <w:pStyle w:val="TextBody"/>
        <w:bidi w:val="0"/>
        <w:spacing w:before="0" w:after="240"/>
        <w:jc w:val="left"/>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Agreement to be executed on its behalf by its duly authorized officer and the Participant has executed this Agreement, effective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acknowledges receipt of an executed version of this Agreement and accepts the award of DSUs granted hereunder on the terms and conditions set forth herein and in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DEFERRED STOCK UNITS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(NON-EMPLOYEE DIRECTOR FORM – DEFERRED ANNUAL)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DEFERRED STOCK UNITS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as of [●] (the “</w:t>
      </w:r>
      <w:r>
        <w:rPr>
          <w:rFonts w:ascii="Times New Roman;serif" w:hAnsi="Times New Roman;serif"/>
          <w:b/>
          <w:color w:val="000000"/>
          <w:sz w:val="22"/>
        </w:rPr>
        <w:t>Date of Grant</w:t>
      </w:r>
      <w:r>
        <w:rPr>
          <w:color w:val="000000"/>
        </w:rPr>
        <w:t>”</w:t>
      </w:r>
      <w:r>
        <w:rPr>
          <w:rFonts w:ascii="Times New Roman;serif" w:hAnsi="Times New Roman;serif"/>
          <w:b w:val="false"/>
          <w:color w:val="000000"/>
          <w:sz w:val="22"/>
        </w:rPr>
        <w:t>), by and between Enviri Corporation, a Delaware corporation, and [PARTICIPANT NAME]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Capitalized terms used, but not otherwise defined, in this Agreement will have the meanings given to such terms in the Company’s 2026 Omnibus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Grant of Deferred Stock Units</w:t>
      </w:r>
      <w:r>
        <w:rPr>
          <w:rFonts w:ascii="Times New Roman;serif" w:hAnsi="Times New Roman;serif"/>
          <w:b w:val="false"/>
          <w:color w:val="000000"/>
          <w:sz w:val="22"/>
        </w:rPr>
        <w:t>. Subject to and upon the terms, conditions and restrictions set forth in this Agreement and in the Plan, the Company grants to the Participant, as of the Date of Grant, [NUMBER] Deferred Stock Units (“</w:t>
      </w:r>
      <w:r>
        <w:rPr>
          <w:rFonts w:ascii="Times New Roman;serif" w:hAnsi="Times New Roman;serif"/>
          <w:b/>
          <w:color w:val="000000"/>
          <w:sz w:val="22"/>
        </w:rPr>
        <w:t>DSUs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Restrictions on Transfer of DSUs</w:t>
      </w:r>
      <w:r>
        <w:rPr>
          <w:rFonts w:ascii="Times New Roman;serif" w:hAnsi="Times New Roman;serif"/>
          <w:b w:val="false"/>
          <w:color w:val="000000"/>
          <w:sz w:val="22"/>
        </w:rPr>
        <w:t xml:space="preserve">. Neither the DSUs granted hereby nor any interest therein or in the Common Stock related thereto shall be transferable prior to payment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other than by will or pursuant to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Vesting of DSUs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DSUs covered by this Agreement shall vest in full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if the Participant remains in Continuous Service through the first anniversary of the Date of Grant (the “</w:t>
      </w:r>
      <w:r>
        <w:rPr>
          <w:rFonts w:ascii="Times New Roman;serif" w:hAnsi="Times New Roman;serif"/>
          <w:b/>
          <w:color w:val="000000"/>
          <w:sz w:val="22"/>
        </w:rPr>
        <w:t>Vesting Date</w:t>
      </w:r>
      <w:r>
        <w:rPr>
          <w:color w:val="000000"/>
        </w:rPr>
        <w:t>”</w:t>
      </w:r>
      <w:r>
        <w:rPr>
          <w:rFonts w:ascii="Times New Roman;serif" w:hAnsi="Times New Roman;serif"/>
          <w:b w:val="false"/>
          <w:color w:val="000000"/>
          <w:sz w:val="22"/>
        </w:rPr>
        <w:t>). Any DSUs that do not become nonforfeitable on the Vesting Date will be forfeited, including if the Participant’s Continuous Service ceases prior to the Vesting Date.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Notwithstanding Section 4(a) above, in the event the Participant’s Continuous Service terminates prior to a Vesting Date, a prorated portion of the DSUs that would have otherwise vested and become nonforfeitable on such Vesting Date (the “</w:t>
      </w:r>
      <w:r>
        <w:rPr>
          <w:rFonts w:ascii="Times New Roman;serif" w:hAnsi="Times New Roman;serif"/>
          <w:b/>
          <w:color w:val="000000"/>
          <w:sz w:val="22"/>
        </w:rPr>
        <w:t>Eligible DSUs</w:t>
      </w:r>
      <w:r>
        <w:rPr>
          <w:color w:val="000000"/>
        </w:rPr>
        <w:t>”</w:t>
      </w:r>
      <w:r>
        <w:rPr>
          <w:rFonts w:ascii="Times New Roman;serif" w:hAnsi="Times New Roman;serif"/>
          <w:b w:val="false"/>
          <w:color w:val="000000"/>
          <w:sz w:val="22"/>
        </w:rPr>
        <w:t xml:space="preserve">) shall vest and become nonforfeitable and payable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with such prorated portion determined by multiplying the number of Eligible DSUs by a fraction (the numerator of which equals the number of days from (and including) the later of the Date of Grant and the most recent Vesting Date and the denominator of which equals the sum of (i) the numerator and (ii) the number of days until (and including) the next Vesting Date) and rounding to the nearest whole number.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Notwithstanding the foregoing, the DSUs shall vest in full and become nonforfeitable and payable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upon the occurrence of any of the following events at a time when the DSUs have not been forfeited (to the extent the DSUs have not previously become nonforfeitable): (i) the Participant’s death or Disability, (ii) the Participant’s “separation from service” (as such term is defined in Treasury Regulations Section 1.409A-1(h) without regard to any alternative definition thereunder) on or after age 72, or (iii) immediately prior to a Change in Control, in each case, during the Participant’s Continuous Service.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Form and Time of Payment of DSUs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Payment for the DSUs, after and to the extent they have become nonforfeitable, shall be made in shares of Common Stock.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Subject to </w:t>
      </w:r>
      <w:r>
        <w:rPr>
          <w:rFonts w:ascii="Times New Roman;serif" w:hAnsi="Times New Roman;serif"/>
          <w:b w:val="false"/>
          <w:color w:val="000000"/>
          <w:sz w:val="22"/>
          <w:u w:val="single"/>
        </w:rPr>
        <w:t>Section 5(c)</w:t>
      </w:r>
      <w:r>
        <w:rPr>
          <w:color w:val="000000"/>
        </w:rPr>
        <w:t xml:space="preserve"> </w:t>
      </w:r>
      <w:r>
        <w:rPr>
          <w:rFonts w:ascii="Times New Roman;serif" w:hAnsi="Times New Roman;serif"/>
          <w:b w:val="false"/>
          <w:color w:val="000000"/>
          <w:sz w:val="22"/>
        </w:rPr>
        <w:t xml:space="preserve">below, payment shall be made on or after the date that the DSUs vest and become nonforfeitable pursuant to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in [a single lump sum]/[[NUMBER (UP TO 10)] substantially equal annual installments beginning] in [YEAR]/[the year following the year of the Participant’s “separation from service” (as such term is defined in Treasury Regulations Section 1.409A-1(h) without regard to any alternative definition thereunder)]. [Notwithstanding the foregoing, payment shall be made in a single lump sum (i) in the year following the year of the Participant’s death or Disability or (ii) upon a Change in Control, in each case, to the extent unpaid as of such event.]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If the Participant is deemed by the Company at the time of the Participant’s “separation from service” (as such term is defined in Treasury Regulations Section 1.409A-1(h) without regard to any alternative definition thereunder) with the Company to be a “specified employee” for purposes of Section 409A(a)(2)(B)(i) of the Code, and if any of the payments upon such separation from service set forth herein are deemed to be “deferred compensation” within the meaning of Section 409A of the Code, then to the extent delayed commencement of any portion of such payments is required to avoid a prohibited distribution under Section 409A(a)(2)(B)(i) of the Code and the related adverse taxation under Section 409A of the Code, such payments will not be provided to the Participant prior to the earliest of (i) the date that is six months and one day after the date of such separation from service, (ii) the date of the Participant’s death, or (iii) such earlier date as permitted under Section 409A of the Code without the</w:t>
      </w:r>
      <w:r>
        <w:rPr>
          <w:color w:val="000000"/>
        </w:rPr>
        <w:t xml:space="preserve"> </w:t>
      </w:r>
      <w:r>
        <w:rPr>
          <w:rFonts w:ascii="Times New Roman;serif" w:hAnsi="Times New Roman;serif"/>
          <w:b w:val="false"/>
          <w:color w:val="000000"/>
          <w:sz w:val="22"/>
        </w:rPr>
        <w:t>imposition of adverse taxation. Upon the first business day following the expiration of such period, all payments deferred pursuant to this Section 5(c) will be paid in a lump sum to the Participant, and any remaining payments due will be paid as otherwise provided herein.</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Company’s obligations to the Participant with respect to the DSUs will be satisfied in full upon the issuance of Common Stock corresponding to such DSUs.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Voting and Other Rights; Dividend Equivalents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Participant shall have no rights of ownership in the Common Stock underlying the DSUs and no right to vote the Common Stock underlying the DSUs until the date on which the shares of Common Stock underlying the DSUs are issued or transferred to the Participant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From and after the Date of Grant and until the earlier of (i) the time when the DSUs become nonforfeitable and are paid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hereof or (ii) the time when the Participant’s right to receive Common Stock in payment of the DSUs is forfeited in accordance with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hereof, on the date that the Company pays a cash dividend (if any) to holders of Common Stock generally, the Participant shall become entitled to receive (subject to the following sentence) a number of additional whole DSUs determined by dividing (x) the product of (1) the dollar amount of the cash dividend paid per share of Common Stock on such date and (2) the total number of DSUs (including dividend equivalents) previously credited to the Participant as of such date, by (y) the Fair Market Value on such date. Such dividend equivalents (if any) shall be subject to the same terms and conditions and shall be paid or forfeited in the same manner and at the same time as the DSUs to which the dividend equivalents were credited.</w:t>
      </w:r>
    </w:p>
    <w:p>
      <w:pPr>
        <w:pStyle w:val="TextBody"/>
        <w:bidi w:val="0"/>
        <w:spacing w:before="0" w:after="24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The obligations of the Company under this Agreement will be merely that of an unfunded and unsecured promise of the Company to deliver shares of Common Stock in the future, and the rights of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 will be no greater than that of an unsecured general creditor. No assets of the Company will be held or set aside as security for the obligations of the Company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Adjustments</w:t>
      </w:r>
      <w:r>
        <w:rPr>
          <w:rFonts w:ascii="Times New Roman;serif" w:hAnsi="Times New Roman;serif"/>
          <w:b w:val="false"/>
          <w:color w:val="000000"/>
          <w:sz w:val="22"/>
        </w:rPr>
        <w:t xml:space="preserve">. The DSUs and their terms under this Agreement are subject to mandatory adjustment under the terms of </w:t>
      </w:r>
      <w:r>
        <w:rPr>
          <w:rFonts w:ascii="Times New Roman;serif" w:hAnsi="Times New Roman;serif"/>
          <w:b w:val="false"/>
          <w:color w:val="000000"/>
          <w:sz w:val="22"/>
          <w:u w:val="single"/>
        </w:rPr>
        <w:t>Section 14</w:t>
      </w:r>
      <w:r>
        <w:rPr>
          <w:color w:val="000000"/>
        </w:rPr>
        <w:t xml:space="preserve"> </w:t>
      </w:r>
      <w:r>
        <w:rPr>
          <w:rFonts w:ascii="Times New Roman;serif" w:hAnsi="Times New Roman;serif"/>
          <w:b w:val="false"/>
          <w:color w:val="000000"/>
          <w:sz w:val="22"/>
        </w:rPr>
        <w:t>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Compliance With Applicable Laws</w:t>
      </w:r>
      <w:r>
        <w:rPr>
          <w:rFonts w:ascii="Times New Roman;serif" w:hAnsi="Times New Roman;serif"/>
          <w:b w:val="false"/>
          <w:color w:val="000000"/>
          <w:sz w:val="22"/>
        </w:rPr>
        <w:t>. The Company shall make reasonable efforts to comply with all Applicable Laws; provided, however, that notwithstanding any other provision of the Plan and this Agreement, the Company shall not be obligated to issue any Common Stock pursuant to this Agreement if the issuance thereof would result in a violation of any Applicable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Each installment of DSUs that vests under this award is a “separate payment” for purposes of Treasury Regulations Section 1.409A-2(b)(2).</w:t>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Withholding Obligations</w:t>
      </w:r>
      <w:r>
        <w:rPr>
          <w:rFonts w:ascii="Times New Roman;serif" w:hAnsi="Times New Roman;serif"/>
          <w:b w:val="false"/>
          <w:color w:val="000000"/>
          <w:sz w:val="22"/>
        </w:rPr>
        <w:t xml:space="preserve">. The Company and its Affiliates may withhold from any payment of cash or distribution of shares of Common Stock or other property to the Participant under this Agreement an amount or number of shares sufficient to cover any required tax withholding with respect to such payment, including up to the maximum allowable withholding, or may take such other action as the Company deems necessary to satisfy any income or other tax withholding requirements arising as a result of the grant or settlement of the DSUs. The Company and its Affiliates may, as a condition to any payment pursuant to this Agreement, require the payment of any such taxes and require that the Participant furnish any information necessary to meet any applicable tax reporting obligation. Subject to prior approval by the Committee and compliance with Applicable Laws, the Participant may, in satisfaction of his or her obligation to pay tax withholding in connection with the vesting or other settlement of the DSUs, elect to: (i) make a cash payment to the Company or its Affiliates; (ii) have withheld a portion of the shares of Common Stock then issuable to the Participant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(iii) surrender shares of Common Stock owned by the Participant prior to the vesting or other settlement of the DSUs; or (iv) utilize a cashless settlement procedure through a registered broker-dealer pursuant to such cashless settlement procedures as are, from time to time, deemed acceptable by the Committee. For purposes of clauses (ii) and (iii), the shares of Common Stock subject to such election shall have a Fair Market Value equal to the applicable tax withholding amount. In the event that the amount of the Company’s or its Affiliates’ withholding obligation in connection with the DSUs exceeds the amount actually withheld by the Company and its Affiliates, the Participant agrees to indemnify and hold harmless the Company and its Affiliates from any liability arising from any failure by the Company and its Affiliates to withhold the proper amount.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Interpretation</w:t>
      </w:r>
      <w:r>
        <w:rPr>
          <w:rFonts w:ascii="Times New Roman;serif" w:hAnsi="Times New Roman;serif"/>
          <w:b w:val="false"/>
          <w:color w:val="000000"/>
          <w:sz w:val="22"/>
        </w:rPr>
        <w:t>. Any reference in this Agreement to Section 409A of the Code will also include any proposed, temporary or final regulations, or any other guidance, promulgated with respect to such Section by the U.S. Department of the Treasury or the Internal Revenue Service. Except as expressly provided in this Agreement, capitalized terms used herein will have the meaning ascribed to such terms in the Plan.</w:t>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No Employment Rights</w:t>
      </w:r>
      <w:r>
        <w:rPr>
          <w:rFonts w:ascii="Times New Roman;serif" w:hAnsi="Times New Roman;serif"/>
          <w:b w:val="false"/>
          <w:color w:val="000000"/>
          <w:sz w:val="22"/>
        </w:rPr>
        <w:t>. The grant of the DSUs under this Agreement to the Participant is a voluntary, discretionary award being made on a one-time basis and it does not constitute a commitment to make any future awards. The grant of the DSUs and any payments made hereunder will not be considered salary or other compensation for purposes of any severance pay or similar allowance, except as otherwise required by law. Nothing contained in this Agreement shall confer upon the Participant any right to be employed or remain employed by the Company or any of its Subsidiaries, nor limit or affect in any manner the right of the Company or any of its Subsidiaries to terminate the employment or adjust the compensation of the Participant.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Relation to Other Benefits</w:t>
      </w:r>
      <w:r>
        <w:rPr>
          <w:rFonts w:ascii="Times New Roman;serif" w:hAnsi="Times New Roman;serif"/>
          <w:b w:val="false"/>
          <w:color w:val="000000"/>
          <w:sz w:val="22"/>
        </w:rPr>
        <w:t>. Any economic or other benefit to the Participant under this Agreement or the Plan shall not be taken into account in determining any benefits to which the Participant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Amendments</w:t>
      </w:r>
      <w:r>
        <w:rPr>
          <w:rFonts w:ascii="Times New Roman;serif" w:hAnsi="Times New Roman;serif"/>
          <w:b w:val="false"/>
          <w:color w:val="000000"/>
          <w:sz w:val="22"/>
        </w:rPr>
        <w:t>. Any amendment to the Plan shall be deemed to be an amendment to this Agreement to the extent that the amendment is applicable hereto; provided, however, that no amendment shall materially impair affect the rights of the Participant under this Agreement without the Participant’s written consent.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Relation to Plan</w:t>
      </w:r>
      <w:r>
        <w:rPr>
          <w:rFonts w:ascii="Times New Roman;serif" w:hAnsi="Times New Roman;serif"/>
          <w:b w:val="false"/>
          <w:color w:val="000000"/>
          <w:sz w:val="22"/>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In addition, the DSUs shall be subject to the terms and conditions of the Company’s Incentive Compensation Recoupment Policy in effect on the Date of Grant as if such DSUs were “Incentive-Based Compensation” (as such term is defined in such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w:t>
      </w:r>
      <w:r>
        <w:rPr>
          <w:rFonts w:ascii="Times New Roman;serif" w:hAnsi="Times New Roman;serif"/>
          <w:b w:val="false"/>
          <w:color w:val="000000"/>
          <w:sz w:val="22"/>
        </w:rPr>
        <w:t>, the provisions of this Agreement shall inure to the benefit of, and be binding upon, the successors, administrators, heirs, legal representatives and assigns of the Participant, and the successors and assigns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will be construed under the laws of the State of Delaware, without regard to its conflict of law provisions, and the parties consent and agree that the federal and state courts of the State of Delaware will have exclusive jurisdiction over any dispute relating to this Agreement.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Acknowledgement</w:t>
      </w:r>
      <w:r>
        <w:rPr>
          <w:rFonts w:ascii="Times New Roman;serif" w:hAnsi="Times New Roman;serif"/>
          <w:b w:val="false"/>
          <w:color w:val="000000"/>
          <w:sz w:val="22"/>
        </w:rPr>
        <w:t>. The Participant acknowledges that the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will constitute one and the same agreement.</w:t>
      </w:r>
    </w:p>
    <w:p>
      <w:pPr>
        <w:pStyle w:val="TextBody"/>
        <w:bidi w:val="0"/>
        <w:spacing w:before="0" w:after="240"/>
        <w:jc w:val="left"/>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Agreement to be executed on its behalf by its duly authorized officer and the Participant has executed this Agreement, effective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ENVIRI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acknowledges receipt of an executed version of this Agreement and accepts the award of DSUs granted hereunder on the terms and conditions set forth herein and in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016" w:type="dxa"/>
        <w:jc w:val="left"/>
        <w:tblInd w:w="0" w:type="dxa"/>
        <w:tblLayout w:type="fixed"/>
        <w:tblCellMar>
          <w:top w:w="28" w:type="dxa"/>
          <w:left w:w="28" w:type="dxa"/>
          <w:bottom w:w="28" w:type="dxa"/>
          <w:right w:w="28" w:type="dxa"/>
        </w:tblCellMar>
      </w:tblPr>
      <w:tblGrid>
        <w:gridCol w:w="2248"/>
        <w:gridCol w:w="1976"/>
        <w:gridCol w:w="2792"/>
      </w:tblGrid>
      <w:tr>
        <w:trPr/>
        <w:tc>
          <w:tcPr>
            <w:tcW w:w="224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160"/>
              <w:ind w:left="0" w:right="0" w:firstLine="3510"/>
              <w:jc w:val="right"/>
              <w:rPr/>
            </w:pPr>
            <w:r>
              <w:rPr/>
              <w:drawing>
                <wp:inline distT="0" distB="0" distL="0" distR="0">
                  <wp:extent cx="2133600" cy="1038225"/>
                  <wp:effectExtent l="0" t="0" r="0" b="0"/>
                  <wp:docPr id="1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 descr=""/>
                          <pic:cNvPicPr>
                            <a:picLocks noChangeAspect="1" noChangeArrowheads="1"/>
                          </pic:cNvPicPr>
                        </pic:nvPicPr>
                        <pic:blipFill>
                          <a:blip r:embed="rId10"/>
                          <a:stretch>
                            <a:fillRect/>
                          </a:stretch>
                        </pic:blipFill>
                        <pic:spPr bwMode="auto">
                          <a:xfrm>
                            <a:off x="0" y="0"/>
                            <a:ext cx="2133600" cy="1038225"/>
                          </a:xfrm>
                          <a:prstGeom prst="rect">
                            <a:avLst/>
                          </a:prstGeom>
                        </pic:spPr>
                      </pic:pic>
                    </a:graphicData>
                  </a:graphic>
                </wp:inline>
              </w:drawing>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10.13</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May 8, 2026</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Russell Hochman</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Sent via email</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Dear Russell:</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On behalf of Enviri II Corporation (“Enviri”), I wish to confirm your position of Chief Executive Officer at an annual salary of $750,000 (Seven Hundred Fifty Thousand Dollars), effective upon the date the sale of Clean Earth and formal spin-off of Enviri occurs.</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Effective in the 2026 plan year, you will be eligible for supplemental compensation annually as a participant in the Company’s Annual Incentive Plan (“AIP”). Based on the achievement of Enviri’s overall objectives the target award available to you will be 100% of your base earnings for the Plan Year. Any award for the 2026 Plan Year will be prorated to reflect your actual time in this assignment during the current year. The AIP Plan design and payout criteria are reviewed periodically, are subject to change and are at the sole discretion of the Enviri Board of Directors.</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 xml:space="preserve">Effective for the 2026 plan year, you will be eligible to participate in the Enviri II Corporation Long-Term Incentive (LTIP) Plan at an annual target level of 400% of your base salary. It is anticipated that the Plan will consist of restricted stock units (RSUs) with a ratable vesting schedule of one-third of the grant award each year on the anniversary date of the grant. Participation is subject to the terms of the Plan. Plan design, share ownership requirements, participation and any grants in this reward program are reviewed annually, are subject to change and are at the sole discretion of the Enviri Board of Directors. Your inclusion in the list of Plan participants reflects the value we place on your role within the global Enviri team. </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 xml:space="preserve">We currently expect to make founders grants to a group of employees who are critical to executing the strategy of New Enviri. Your position will be eligible for a founders grant. More information on the founders grant will be provided following Board of Directors approval of this program. </w:t>
      </w:r>
    </w:p>
    <w:p>
      <w:pPr>
        <w:pStyle w:val="TextBody"/>
        <w:bidi w:val="0"/>
        <w:spacing w:before="0" w:after="160"/>
        <w:jc w:val="left"/>
        <w:rPr/>
      </w:pPr>
      <w:r>
        <w:rPr/>
      </w:r>
    </w:p>
    <w:p>
      <w:pPr>
        <w:pStyle w:val="TextBody"/>
        <w:bidi w:val="0"/>
        <w:spacing w:lineRule="auto" w:line="268" w:before="0" w:after="0"/>
        <w:jc w:val="left"/>
        <w:rPr/>
      </w:pPr>
      <w:r>
        <w:rPr>
          <w:rFonts w:ascii="Lato;sans-serif" w:hAnsi="Lato;sans-serif"/>
          <w:b w:val="false"/>
          <w:color w:val="000000"/>
          <w:sz w:val="22"/>
          <w:shd w:fill="FFFFFF" w:val="clear"/>
        </w:rPr>
        <w:t>You will continue to be based at the new Corporate Headquarters in Center City Philadelphia.</w:t>
      </w:r>
      <w:r>
        <w:rPr>
          <w:color w:val="000000"/>
        </w:rPr>
        <w:t xml:space="preserve"> </w:t>
      </w:r>
      <w:r>
        <w:rPr>
          <w:rFonts w:ascii="Lato;sans-serif" w:hAnsi="Lato;sans-serif"/>
          <w:b w:val="false"/>
          <w:color w:val="000000"/>
          <w:sz w:val="22"/>
        </w:rPr>
        <w:t xml:space="preserve">In this position you will report directly to Carolann Haznedar, Chair of the Board for Enviri II Corporation. </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Please be aware that, since your position will involve significant access to Enviri confidential information and/or valuable business relationships, you will be required to sign the Enviri Confidentiality Agreement as a condition of our employment offer.</w:t>
      </w:r>
    </w:p>
    <w:p>
      <w:pPr>
        <w:pStyle w:val="TextBody"/>
        <w:bidi w:val="0"/>
        <w:spacing w:before="0" w:after="160"/>
        <w:jc w:val="left"/>
        <w:rPr/>
      </w:pPr>
      <w:r>
        <w:rPr/>
      </w:r>
    </w:p>
    <w:p>
      <w:pPr>
        <w:pStyle w:val="TextBody"/>
        <w:bidi w:val="0"/>
        <w:spacing w:lineRule="auto" w:line="268" w:before="0" w:after="0"/>
        <w:jc w:val="left"/>
        <w:rPr/>
      </w:pPr>
      <w:r>
        <w:rPr>
          <w:rFonts w:ascii="Lato;sans-serif" w:hAnsi="Lato;sans-serif"/>
          <w:b w:val="false"/>
          <w:color w:val="000000"/>
          <w:sz w:val="22"/>
        </w:rPr>
        <w:t>While we hope our relationship will be mutually beneficial, it needs to be emphasized that our relationship (as with all of our employees) is “at-will”, that is, you or the Company can end the relationship for any reason and at any time, with or without cause or advance notice.</w:t>
      </w:r>
      <w:r>
        <w:rPr>
          <w:color w:val="000000"/>
        </w:rPr>
        <w:t xml:space="preserve"> </w:t>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1135"/>
                <wp:effectExtent l="0" t="0" r="0" b="0"/>
                <wp:wrapNone/>
                <wp:docPr id="154" name="Frame152"/>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 descr=""/>
                                                <pic:cNvPicPr>
                                                  <a:picLocks noChangeAspect="1" noChangeArrowheads="1"/>
                                                </pic:cNvPicPr>
                                              </pic:nvPicPr>
                                              <pic:blipFill>
                                                <a:blip r:embed="rId11"/>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 descr=""/>
                                          <pic:cNvPicPr>
                                            <a:picLocks noChangeAspect="1" noChangeArrowheads="1"/>
                                          </pic:cNvPicPr>
                                        </pic:nvPicPr>
                                        <pic:blipFill>
                                          <a:blip r:embed="rId12"/>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 descr=""/>
                          <pic:cNvPicPr>
                            <a:picLocks noChangeAspect="1" noChangeArrowheads="1"/>
                          </pic:cNvPicPr>
                        </pic:nvPicPr>
                        <pic:blipFill>
                          <a:blip r:embed="rId13"/>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Please note your acceptance by signing and returning a copy of this letter. Should you have any questions, please reach out to Lauren Aker.</w:t>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Sincerely,</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Carolann Haznedar _________________________________________</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Chair of the Board</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Enviri II Corporation Russell Hochman Date</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Cc: Personnel File</w:t>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1135"/>
                <wp:effectExtent l="0" t="0" r="0" b="0"/>
                <wp:wrapNone/>
                <wp:docPr id="158" name="Frame153"/>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 descr=""/>
                                                <pic:cNvPicPr>
                                                  <a:picLocks noChangeAspect="1" noChangeArrowheads="1"/>
                                                </pic:cNvPicPr>
                                              </pic:nvPicPr>
                                              <pic:blipFill>
                                                <a:blip r:embed="rId14"/>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 descr=""/>
                                          <pic:cNvPicPr>
                                            <a:picLocks noChangeAspect="1" noChangeArrowheads="1"/>
                                          </pic:cNvPicPr>
                                        </pic:nvPicPr>
                                        <pic:blipFill>
                                          <a:blip r:embed="rId15"/>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6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 descr=""/>
                          <pic:cNvPicPr>
                            <a:picLocks noChangeAspect="1" noChangeArrowheads="1"/>
                          </pic:cNvPicPr>
                        </pic:nvPicPr>
                        <pic:blipFill>
                          <a:blip r:embed="rId16"/>
                          <a:stretch>
                            <a:fillRect/>
                          </a:stretch>
                        </pic:blipFill>
                        <pic:spPr bwMode="auto">
                          <a:xfrm>
                            <a:off x="0" y="0"/>
                            <a:ext cx="876300" cy="10096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u w:val="single"/>
        </w:rPr>
      </w:pPr>
      <w:r>
        <w:rPr>
          <w:rFonts w:ascii="Arial;sans-serif" w:hAnsi="Arial;sans-serif"/>
          <w:b/>
          <w:color w:val="000000"/>
          <w:sz w:val="20"/>
          <w:u w:val="single"/>
        </w:rPr>
        <w:t>CONFIDENTIALITY AND NON-COMPETITION AGREEMENT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 xml:space="preserve">THIS EMPLOYEE CONFIDENTIALITY AND NON-COMPETITION AGREEMENT ("Agreement") is entered into, by and between Enviri Corporation and its affiliates (collectively, "Enviri"), and </w:t>
      </w:r>
      <w:r>
        <w:rPr>
          <w:rFonts w:ascii="Arial;sans-serif" w:hAnsi="Arial;sans-serif"/>
          <w:b w:val="false"/>
          <w:color w:val="000000"/>
          <w:sz w:val="21"/>
        </w:rPr>
        <w:t xml:space="preserve">Russell Hochman </w:t>
      </w:r>
      <w:r>
        <w:rPr>
          <w:rFonts w:ascii="Arial;sans-serif" w:hAnsi="Arial;sans-serif"/>
          <w:b w:val="false"/>
          <w:color w:val="000000"/>
          <w:sz w:val="20"/>
        </w:rPr>
        <w:t>(hereinafter, "you" or "your").</w:t>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consideration of (a) Enviri hiring you as an at-will employee in such capacity as may be determined by Enviri, (b) the expense, time and effort involved in providing you with specialized and unique training, (c) the access Enviri will provide you to certain trade secrets, and confidential and proprietary information, as required by your job duties, and/or (d) the access that you will be provided to important customer relationships and the associated customer goodwill of Enviri, Enviri and you agree to the following legally binding terms:</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4"/>
        </w:rPr>
        <w:t>1</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Employment</w:t>
      </w:r>
      <w:r>
        <w:rPr>
          <w:rFonts w:ascii="Arial;sans-serif" w:hAnsi="Arial;sans-serif"/>
          <w:b/>
          <w:color w:val="000000"/>
          <w:sz w:val="24"/>
        </w:rPr>
        <w: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You desire to be employed by Enviri in a management, executive and/or leadership</w:t>
      </w:r>
      <w:r>
        <w:rPr>
          <w:color w:val="000000"/>
        </w:rPr>
        <w:t xml:space="preserve"> </w:t>
      </w:r>
      <w:r>
        <w:rPr>
          <w:rFonts w:ascii="Arial;sans-serif" w:hAnsi="Arial;sans-serif"/>
          <w:b w:val="false"/>
          <w:color w:val="000000"/>
          <w:sz w:val="20"/>
        </w:rPr>
        <w:t>capacity.</w:t>
      </w:r>
      <w:r>
        <w:rPr>
          <w:color w:val="000000"/>
        </w:rPr>
        <w:t xml:space="preserve"> </w:t>
      </w:r>
      <w:r>
        <w:rPr>
          <w:rFonts w:ascii="Arial;sans-serif" w:hAnsi="Arial;sans-serif"/>
          <w:b w:val="false"/>
          <w:color w:val="000000"/>
          <w:sz w:val="20"/>
        </w:rPr>
        <w:t>During the entire period that you are employed by Enviri, you agree to devote your best efforts to advance the interests of Enviri.</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Your status is as an at-will employee, and Enviri is not obligated by this Agreement or by separate arrangements to continue your employment for any particular time period or under any specific terms or conditions.</w:t>
      </w:r>
      <w:r>
        <w:rPr>
          <w:color w:val="000000"/>
        </w:rPr>
        <w:t xml:space="preserve"> </w:t>
      </w:r>
      <w:r>
        <w:rPr>
          <w:rFonts w:ascii="Arial;sans-serif" w:hAnsi="Arial;sans-serif"/>
          <w:b w:val="false"/>
          <w:color w:val="000000"/>
          <w:sz w:val="20"/>
        </w:rPr>
        <w:t>You acknowledge and agree this Agreement is ancillary to the inception of your employment relationship with Enviri.</w:t>
      </w:r>
      <w:r>
        <w:rPr>
          <w:color w:val="000000"/>
        </w:rPr>
        <w:t xml:space="preserve"> </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You represent and warrant that you have furnished Enviri with copies of any and all agreements, or other documents, if any, to which you are a party or by which you are otherwise bound that may restrict you in the performance of your duties for Enviri.</w:t>
      </w:r>
      <w:r>
        <w:rPr>
          <w:color w:val="000000"/>
        </w:rPr>
        <w:t xml:space="preserve"> </w:t>
      </w:r>
      <w:r>
        <w:rPr>
          <w:rFonts w:ascii="Arial;sans-serif" w:hAnsi="Arial;sans-serif"/>
          <w:b w:val="false"/>
          <w:color w:val="000000"/>
          <w:sz w:val="20"/>
        </w:rPr>
        <w:t>This includes any Non-Competition or Confidentiality Agreements with any prior employers.</w:t>
      </w:r>
      <w:r>
        <w:rPr>
          <w:color w:val="000000"/>
        </w:rPr>
        <w:t xml:space="preserve"> </w:t>
      </w:r>
      <w:r>
        <w:rPr>
          <w:rFonts w:ascii="Arial;sans-serif" w:hAnsi="Arial;sans-serif"/>
          <w:b w:val="false"/>
          <w:color w:val="000000"/>
          <w:sz w:val="20"/>
        </w:rPr>
        <w:t>You further agree not to divulge to Enviri any trade secrets, or confidential or proprietary information of your prior employers.</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4"/>
        </w:rPr>
        <w:t>2</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Non-Disclosure of Enviri's Confidential Information.</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Enviri is in the business of supplying industrial services and manufacturing through diverse business units</w:t>
      </w:r>
      <w:r>
        <w:rPr>
          <w:rFonts w:ascii="Arial;sans-serif" w:hAnsi="Arial;sans-serif"/>
          <w:b/>
          <w:color w:val="000000"/>
          <w:sz w:val="24"/>
        </w:rPr>
        <w:t>.</w:t>
      </w:r>
      <w:r>
        <w:rPr>
          <w:color w:val="000000"/>
        </w:rPr>
        <w:t xml:space="preserve"> </w:t>
      </w:r>
      <w:r>
        <w:rPr>
          <w:rFonts w:ascii="Arial;sans-serif" w:hAnsi="Arial;sans-serif"/>
          <w:b w:val="false"/>
          <w:color w:val="000000"/>
          <w:sz w:val="20"/>
        </w:rPr>
        <w:t xml:space="preserve">In the course of performing such activities, Enviri acquires and develops trade secrets and confidential and proprietary information which is not generally known in the industry. </w:t>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You recognize that the knowledge and information acquired by you concerning Enviri's business plans, client/customer prospects, client/customer lists, client/customer contacts, client/customer data, proposals to clients/customers and potential clients/customers, marketing plans, supplier and vendor lists and cost information, software and computer programs, data processing systems and information contained therein, inventions, product and other designs, technologies, price lists, profit margins, financial statements, financial data, acquisition and divestiture plans, and any other trade secrets or confidential or proprietary information, documents, reports, plans or data, of or about Enviri which is not already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1135"/>
                <wp:effectExtent l="0" t="0" r="0" b="0"/>
                <wp:wrapNone/>
                <wp:docPr id="162" name="Frame154"/>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 descr=""/>
                                                <pic:cNvPicPr>
                                                  <a:picLocks noChangeAspect="1" noChangeArrowheads="1"/>
                                                </pic:cNvPicPr>
                                              </pic:nvPicPr>
                                              <pic:blipFill>
                                                <a:blip r:embed="rId17"/>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6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 descr=""/>
                                          <pic:cNvPicPr>
                                            <a:picLocks noChangeAspect="1" noChangeArrowheads="1"/>
                                          </pic:cNvPicPr>
                                        </pic:nvPicPr>
                                        <pic:blipFill>
                                          <a:blip r:embed="rId18"/>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 descr=""/>
                          <pic:cNvPicPr>
                            <a:picLocks noChangeAspect="1" noChangeArrowheads="1"/>
                          </pic:cNvPicPr>
                        </pic:nvPicPr>
                        <pic:blipFill>
                          <a:blip r:embed="rId19"/>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0"/>
        </w:rPr>
        <w:t>available to the public (collectively, "Enviri confidential information") are valuable, special and unique aspects of Enviri's business.</w:t>
      </w:r>
      <w:r>
        <w:rPr>
          <w:color w:val="000000"/>
        </w:rPr>
        <w:t xml:space="preserve"> </w:t>
      </w:r>
      <w:r>
        <w:rPr>
          <w:rFonts w:ascii="Arial;sans-serif" w:hAnsi="Arial;sans-serif"/>
          <w:b w:val="false"/>
          <w:color w:val="000000"/>
          <w:sz w:val="20"/>
        </w:rPr>
        <w:t>You recognize that such Enviri confidential information would not be provided to you by Enviri in the absence of this signed Agreement because of the risks that valuable Enviri confidential information might otherwise be divulged and thereby damage Enviri's competitive position in the marketplace.</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You agree that you will not, during or after your employment with Enviri, (i) disclose, in whole or in part, any Enviri confidential information to any person, firm, corporation, association or other entity for any reason or purpose whatsoever unless authorized in writing to do so by Enviri, or (ii) use any Enviri confidential information for your own purpose or for the benefit of any person, firm, corporation, association or other entity other than Enviri.</w:t>
      </w:r>
      <w:r>
        <w:rPr>
          <w:color w:val="000000"/>
        </w:rPr>
        <w:t xml:space="preserve"> </w:t>
      </w:r>
      <w:r>
        <w:rPr>
          <w:rFonts w:ascii="Arial;sans-serif" w:hAnsi="Arial;sans-serif"/>
          <w:b w:val="false"/>
          <w:color w:val="000000"/>
          <w:sz w:val="20"/>
        </w:rPr>
        <w:t>After the term of your employment, the restrictions set forth in this paragraph will not apply to information which is then in the public domain (unless you are responsible, directly or indirectly, for such Enviri confidential information entering the public domain without Enviri's consent).</w:t>
      </w:r>
    </w:p>
    <w:p>
      <w:pPr>
        <w:pStyle w:val="TextBody"/>
        <w:bidi w:val="0"/>
        <w:spacing w:before="0" w:after="16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Notwithstanding any other provision of this Agreement, you understand that nothing contained in this Agreement limits your ability to file a charge or complaint with any federal, state or local governmental agency or commission (“Government Agencies”). You further understand that this Agreement does not limit your ability to communicate with any Government Agencies or otherwise participate in any investigation or proceeding that may be commenced by any Government Agency including providing documents or other information without notice to Enviri. </w:t>
      </w:r>
    </w:p>
    <w:p>
      <w:pPr>
        <w:pStyle w:val="TextBody"/>
        <w:bidi w:val="0"/>
        <w:spacing w:before="0" w:after="16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Furthermore, nothing in this Agreement is intended to or shall be interpreted to prohibit disclosure of information to the limited extent permitted by and in accordance with the federal Defend Trade Secrets Act of 2016 (“DTSA”).</w:t>
      </w:r>
      <w:r>
        <w:rPr>
          <w:color w:val="000000"/>
        </w:rPr>
        <w:t xml:space="preserve"> </w:t>
      </w:r>
      <w:r>
        <w:rPr>
          <w:rFonts w:ascii="Arial;sans-serif" w:hAnsi="Arial;sans-serif"/>
          <w:b w:val="false"/>
          <w:color w:val="000000"/>
          <w:sz w:val="20"/>
        </w:rPr>
        <w:t>Stated otherwise, disclosures that are protected by the DTSA as follows do not violate this Agreement.</w:t>
      </w:r>
      <w:r>
        <w:rPr>
          <w:color w:val="000000"/>
        </w:rPr>
        <w:t xml:space="preserve"> </w:t>
      </w:r>
      <w:r>
        <w:rPr>
          <w:rFonts w:ascii="Arial;sans-serif" w:hAnsi="Arial;sans-serif"/>
          <w:b w:val="false"/>
          <w:color w:val="000000"/>
          <w:sz w:val="20"/>
        </w:rPr>
        <w:t>The DTSA provides that: “(1) An individual shall not be held criminally or civilly liable under any Federal or State trade secret law for the disclosure of a trade secret that – (A) is made –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r>
        <w:rPr>
          <w:color w:val="000000"/>
        </w:rPr>
        <w:t xml:space="preserve"> </w:t>
      </w:r>
      <w:r>
        <w:rPr>
          <w:rFonts w:ascii="Arial;sans-serif" w:hAnsi="Arial;sans-serif"/>
          <w:b w:val="false"/>
          <w:color w:val="000000"/>
          <w:sz w:val="20"/>
        </w:rPr>
        <w:t>The DTSA further provides that: “(2) An individual who files a lawsuit for retaliation by an employer for reporting a suspected violation of law may disclose the trade secret to the attorney of the individual and use the trade secret information in the court proceeding, if the individual – (A) files any document containing the trade secret under seal; and (B) does not disclose the trade secret, except pursuant to court order.”</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4"/>
        </w:rPr>
        <w:t>3</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Intellectual Property.</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All inventions, improvements, processes, methods, procedures, systems, discoveries, concepts, know-how, data, databases, other works of authorship, technology, devices, products software, templates, documentation, specifications, compilations, designs, reports, or other creations or developments, and any enhancements, modifications, or additions to the foregoing or to any products or services owned, marketed or used by Enviri, and any patents or patent application related thereto, and any and all trademark, copyright, trade secret and other intellectual property rights related thereto (collectively, the "Intellectual Property") which you (either alone or in conjunction with others) conceive, make, create, author, obtain or develop during the term of your employment with Enviri (whether during or outside of working hours) and which are related in any way to Enviri's business or its technology, or which are created using Enviri resources, whether or not it is completed or reduced to practice during the period of your employment (collectively, “Enviri Intellectual Property”), will be the sole property of Enviri.</w:t>
      </w:r>
      <w:r>
        <w:rPr>
          <w:color w:val="000000"/>
        </w:rPr>
        <w:t xml:space="preserve"> </w:t>
      </w:r>
      <w:r>
        <w:rPr>
          <w:rFonts w:ascii="Arial;sans-serif" w:hAnsi="Arial;sans-serif"/>
          <w:b w:val="false"/>
          <w:color w:val="000000"/>
          <w:sz w:val="20"/>
        </w:rPr>
        <w:t xml:space="preserve">Enviri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1135"/>
                <wp:effectExtent l="0" t="0" r="0" b="0"/>
                <wp:wrapNone/>
                <wp:docPr id="166" name="Frame155"/>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6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9" descr=""/>
                                                <pic:cNvPicPr>
                                                  <a:picLocks noChangeAspect="1" noChangeArrowheads="1"/>
                                                </pic:cNvPicPr>
                                              </pic:nvPicPr>
                                              <pic:blipFill>
                                                <a:blip r:embed="rId20"/>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6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 descr=""/>
                                          <pic:cNvPicPr>
                                            <a:picLocks noChangeAspect="1" noChangeArrowheads="1"/>
                                          </pic:cNvPicPr>
                                        </pic:nvPicPr>
                                        <pic:blipFill>
                                          <a:blip r:embed="rId21"/>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 descr=""/>
                          <pic:cNvPicPr>
                            <a:picLocks noChangeAspect="1" noChangeArrowheads="1"/>
                          </pic:cNvPicPr>
                        </pic:nvPicPr>
                        <pic:blipFill>
                          <a:blip r:embed="rId22"/>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0"/>
        </w:rPr>
        <w:t xml:space="preserve">Intellectual Property does </w:t>
      </w:r>
      <w:r>
        <w:rPr>
          <w:rFonts w:ascii="Arial;sans-serif" w:hAnsi="Arial;sans-serif"/>
          <w:b/>
          <w:color w:val="000000"/>
          <w:sz w:val="24"/>
          <w:u w:val="single"/>
        </w:rPr>
        <w:t>not</w:t>
      </w:r>
      <w:r>
        <w:rPr>
          <w:color w:val="000000"/>
        </w:rPr>
        <w:t xml:space="preserve"> </w:t>
      </w:r>
      <w:r>
        <w:rPr>
          <w:rFonts w:ascii="Arial;sans-serif" w:hAnsi="Arial;sans-serif"/>
          <w:b w:val="false"/>
          <w:color w:val="000000"/>
          <w:sz w:val="20"/>
        </w:rPr>
        <w:t xml:space="preserve">include any Intellectual Property, if any, conceived, made, obtained or developed by you </w:t>
      </w:r>
      <w:r>
        <w:rPr>
          <w:rFonts w:ascii="Arial;sans-serif" w:hAnsi="Arial;sans-serif"/>
          <w:b w:val="false"/>
          <w:i/>
          <w:color w:val="000000"/>
          <w:sz w:val="24"/>
        </w:rPr>
        <w:t>prior</w:t>
      </w:r>
      <w:r>
        <w:rPr>
          <w:color w:val="000000"/>
        </w:rPr>
        <w:t xml:space="preserve"> </w:t>
      </w:r>
      <w:r>
        <w:rPr>
          <w:rFonts w:ascii="Arial;sans-serif" w:hAnsi="Arial;sans-serif"/>
          <w:b w:val="false"/>
          <w:color w:val="000000"/>
          <w:sz w:val="20"/>
        </w:rPr>
        <w:t>to your employment by Enviri that is expressly identified by you on the Intellectual Property Disclosure attached to this Agreement.</w:t>
      </w:r>
      <w:r>
        <w:rPr>
          <w:color w:val="000000"/>
        </w:rPr>
        <w:t xml:space="preserve"> </w:t>
      </w:r>
      <w:r>
        <w:rPr>
          <w:rFonts w:ascii="Arial;sans-serif" w:hAnsi="Arial;sans-serif"/>
          <w:b w:val="false"/>
          <w:color w:val="000000"/>
          <w:sz w:val="20"/>
        </w:rPr>
        <w:t xml:space="preserve">Enviri Intellectual Property also does </w:t>
      </w:r>
      <w:r>
        <w:rPr>
          <w:rFonts w:ascii="Arial;sans-serif" w:hAnsi="Arial;sans-serif"/>
          <w:b/>
          <w:color w:val="000000"/>
          <w:sz w:val="24"/>
          <w:u w:val="single"/>
        </w:rPr>
        <w:t>not</w:t>
      </w:r>
      <w:r>
        <w:rPr>
          <w:color w:val="000000"/>
        </w:rPr>
        <w:t xml:space="preserve"> </w:t>
      </w:r>
      <w:r>
        <w:rPr>
          <w:rFonts w:ascii="Arial;sans-serif" w:hAnsi="Arial;sans-serif"/>
          <w:b w:val="false"/>
          <w:color w:val="000000"/>
          <w:sz w:val="20"/>
        </w:rPr>
        <w:t>include, and this Agreement not apply to, any Intellectual Property that you develop entirely on your own time without using Enviri’s equipment, supplies, facility or trade secret information, except for Intellectual Property that: (1) relates to Enviri’s business or actual or demonstrably anticipated research or development; or (2) results from any work performed by you for Enviri.</w:t>
      </w:r>
      <w:r>
        <w:rPr>
          <w:color w:val="000000"/>
        </w:rPr>
        <w:t xml:space="preserve"> </w:t>
      </w:r>
      <w:r>
        <w:rPr>
          <w:rFonts w:ascii="Arial;sans-serif" w:hAnsi="Arial;sans-serif"/>
          <w:b w:val="false"/>
          <w:color w:val="000000"/>
          <w:sz w:val="20"/>
        </w:rPr>
        <w:t>You acknowledge and agree that all Enviri Intellectual Property made by you (solely or jointly with others) and which qualifies as a “work made for hire” pursuant to the United States Copyright Act shall be deemed a “work made for hire” of which Enviri shall be the legal author and owner upon creation.</w:t>
      </w:r>
      <w:r>
        <w:rPr>
          <w:color w:val="000000"/>
        </w:rPr>
        <w:t xml:space="preserve"> </w:t>
      </w:r>
      <w:r>
        <w:rPr>
          <w:rFonts w:ascii="Arial;sans-serif" w:hAnsi="Arial;sans-serif"/>
          <w:b w:val="false"/>
          <w:color w:val="000000"/>
          <w:sz w:val="20"/>
        </w:rPr>
        <w:t>For all Enviri Intellectual Property that does not qualify as a “work made for hire” deemed authored and owned by Enviri upon creation, you hereby assign to Enviri, and solely to the extent a present assignment is not effective you agree to assign to Enviri, all your right, title and interest in and to such Enviri Intellectual Property.</w:t>
      </w:r>
      <w:r>
        <w:rPr>
          <w:color w:val="000000"/>
        </w:rPr>
        <w:t xml:space="preserve"> </w:t>
      </w:r>
      <w:r>
        <w:rPr>
          <w:rFonts w:ascii="Arial;sans-serif" w:hAnsi="Arial;sans-serif"/>
          <w:b w:val="false"/>
          <w:color w:val="000000"/>
          <w:sz w:val="20"/>
        </w:rPr>
        <w:t>You hereby waive any non-assignable rights, including moral rights, in and to such Enviri Intellectual Property.</w:t>
      </w:r>
      <w:r>
        <w:rPr>
          <w:color w:val="000000"/>
        </w:rPr>
        <w:t xml:space="preserve"> </w:t>
      </w:r>
      <w:r>
        <w:rPr>
          <w:rFonts w:ascii="Arial;sans-serif" w:hAnsi="Arial;sans-serif"/>
          <w:b w:val="false"/>
          <w:color w:val="000000"/>
          <w:sz w:val="20"/>
        </w:rPr>
        <w:t>Enviri Intellectual Property will belong to Enviri whether or not patent, trademark, copyright and/or other intellectual property right applications are or can be filed thereon.</w:t>
      </w:r>
      <w:r>
        <w:rPr>
          <w:color w:val="000000"/>
        </w:rPr>
        <w:t xml:space="preserve"> </w:t>
      </w:r>
      <w:r>
        <w:rPr>
          <w:rFonts w:ascii="Arial;sans-serif" w:hAnsi="Arial;sans-serif"/>
          <w:b w:val="false"/>
          <w:color w:val="000000"/>
          <w:sz w:val="20"/>
        </w:rPr>
        <w:t>You will make full and prompt disclosure to Enviri of all Enviri Intellectual Property and, at Enviri's request and expense (but without additional compensation to you), you will at any time and from time to time during and after your employment with Enviri, execute and deliver to Enviri such applications, assignments and other papers and take such other actions (including, but not limited to, testifying in any legal proceedings) as Enviri, in its sole discretion, considers necessary or desirable to formalize, vest, perfect, enforce, defend or maintain Enviri's rights in and to such Enviri Intellectual Property.</w:t>
      </w:r>
      <w:r>
        <w:rPr>
          <w:color w:val="000000"/>
        </w:rPr>
        <w:t xml:space="preserve"> </w:t>
      </w:r>
      <w:r>
        <w:rPr>
          <w:rFonts w:ascii="Arial;sans-serif" w:hAnsi="Arial;sans-serif"/>
          <w:b w:val="false"/>
          <w:color w:val="000000"/>
          <w:sz w:val="20"/>
        </w:rPr>
        <w:t>In the event Enviri is unable for any reason, after reasonable effort, to secure your signature on any document needed in connection with the actions specified in the preceding paragraph, you hereby irrevocably designate and appoint Enviri and Enviri’s duly authorized officers and agents as your agent and attorney in fact, which appointment is coupled with an interest, to act for and in your behalf to execute, verify and file any such documents and to do all other lawfully permitted acts to further the purposes of this paragraph with the same legal force and effect as if executed by you.</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4.</w:t>
      </w:r>
      <w:r>
        <w:rPr>
          <w:color w:val="000000"/>
        </w:rPr>
        <w:t xml:space="preserve"> </w:t>
      </w:r>
      <w:r>
        <w:rPr>
          <w:rFonts w:ascii="Arial;sans-serif" w:hAnsi="Arial;sans-serif"/>
          <w:b/>
          <w:color w:val="000000"/>
          <w:sz w:val="24"/>
          <w:u w:val="single"/>
        </w:rPr>
        <w:t>Non-Solicitation and Non-Competition</w:t>
      </w:r>
      <w:r>
        <w:rPr>
          <w:rFonts w:ascii="Arial;sans-serif" w:hAnsi="Arial;sans-serif"/>
          <w:b/>
          <w:color w:val="000000"/>
          <w:sz w:val="24"/>
        </w:rPr>
        <w:t xml:space="preserve">. </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You agree that during your employment by Enviri and for a period of twelve (12) months after the cessation of such employment for any reason (hereinafter, "the Restricted Period"), including, but not limited to, by reason of your voluntarily resigning or being terminated for violation of company policies or deficiency in performance, you shall not, for yourself or on behalf of any other corporation, business, partnership, individual, or other entity in any capacity (as an employee, independent contractor, owner, partner, or otherwise), directly or indirectly:</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(i)</w:t>
      </w:r>
      <w:r>
        <w:rPr>
          <w:color w:val="000000"/>
        </w:rPr>
        <w:t xml:space="preserve"> </w:t>
      </w:r>
      <w:r>
        <w:rPr>
          <w:rFonts w:ascii="Arial;sans-serif" w:hAnsi="Arial;sans-serif"/>
          <w:b w:val="false"/>
          <w:color w:val="000000"/>
          <w:sz w:val="20"/>
        </w:rPr>
        <w:t xml:space="preserve">engage in any act or omission which may interfere with or adversely affect the relationship (contractual or otherwise) of Enviri with any Customer (as defined below) of Enviri, or otherwise induce or attempt to induce any such Customer not to do business with, cease doing business with, or reduce or otherwise limit its business with, Enviri; </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(ii)</w:t>
      </w:r>
      <w:r>
        <w:rPr>
          <w:color w:val="000000"/>
        </w:rPr>
        <w:t xml:space="preserve"> </w:t>
      </w:r>
      <w:r>
        <w:rPr>
          <w:rFonts w:ascii="Arial;sans-serif" w:hAnsi="Arial;sans-serif"/>
          <w:b w:val="false"/>
          <w:color w:val="000000"/>
          <w:sz w:val="20"/>
        </w:rPr>
        <w:t>(A) induce, offer, assist, encourage or suggest that another business or enterprise offer employment to or enter into a consulting arrangement with any Enviri employee, agent or representative, (B) induce, offer, assist, encourage or suggest that any Enviri employee, consultant, independent contractor, agent or representative terminate his or her employment or business affiliation with Enviri; or (C) otherwise interfere with the employment or other business relationship between Enviri and any employee, independent contractor, consultant, agent, vendor or other business relation; or</w:t>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1135"/>
                <wp:effectExtent l="0" t="0" r="0" b="0"/>
                <wp:wrapNone/>
                <wp:docPr id="170" name="Frame156"/>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7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 descr=""/>
                                                <pic:cNvPicPr>
                                                  <a:picLocks noChangeAspect="1" noChangeArrowheads="1"/>
                                                </pic:cNvPicPr>
                                              </pic:nvPicPr>
                                              <pic:blipFill>
                                                <a:blip r:embed="rId23"/>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 descr=""/>
                                          <pic:cNvPicPr>
                                            <a:picLocks noChangeAspect="1" noChangeArrowheads="1"/>
                                          </pic:cNvPicPr>
                                        </pic:nvPicPr>
                                        <pic:blipFill>
                                          <a:blip r:embed="rId24"/>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 descr=""/>
                          <pic:cNvPicPr>
                            <a:picLocks noChangeAspect="1" noChangeArrowheads="1"/>
                          </pic:cNvPicPr>
                        </pic:nvPicPr>
                        <pic:blipFill>
                          <a:blip r:embed="rId25"/>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0"/>
        </w:rPr>
        <w:t>(iii)</w:t>
      </w:r>
      <w:r>
        <w:rPr>
          <w:color w:val="000000"/>
        </w:rPr>
        <w:t xml:space="preserve"> </w:t>
      </w:r>
      <w:r>
        <w:rPr>
          <w:rFonts w:ascii="Arial;sans-serif" w:hAnsi="Arial;sans-serif"/>
          <w:b w:val="false"/>
          <w:color w:val="000000"/>
          <w:sz w:val="20"/>
        </w:rPr>
        <w:t>within the Restricted Area (as defined below): (A) engage in any business activity which, at the time of termination of your employment with Enviri, is a Competing Activity (as defined below); or (B) engage in any business activity for, become employed by, or perform competing services for (as an employee, consultant, independent contractor, owner, partner, or otherwise) any Competitor (as defined below).</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The term “Customer,” as used in this paragraph 4, shall mean (i) any person or entity for whom Enviri is providing any goods or services or has provided goods or services during the twelve (12) month period immediately preceding your termination of employment, and (ii) any person or entity with whom Enviri was communicating at any point during the twelve (12) month period immediately preceding your termination of employment to provide goods or services, provided you were involved in or had knowledge of such communication.</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The term “Restricted Area,” as used in this paragraph 4, shall mean (i) North America, and (ii) any other country in which Enviri (A) conducts business at the time of the termination of your employment or at any time during the twenty-four (24) month period prior to the termination of your employment, or (B) in which Enviri is planning, with your involvement, to conduct business at the time of the termination of your employment.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The term “Competing Activity,” as used in this paragraph 4, shall mean</w:t>
      </w:r>
      <w:r>
        <w:rPr>
          <w:color w:val="000000"/>
        </w:rPr>
        <w:t xml:space="preserve"> </w:t>
      </w:r>
      <w:r>
        <w:rPr>
          <w:rFonts w:ascii="Arial;sans-serif" w:hAnsi="Arial;sans-serif"/>
          <w:b w:val="false"/>
          <w:color w:val="000000"/>
          <w:sz w:val="20"/>
        </w:rPr>
        <w:t>any activity that directly or indirectly, competes with Enviri or is of the type or character engaged in or competitive with that conducted by Enviri at the time of termination of your employment with Enviri.</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(e)</w:t>
      </w:r>
      <w:r>
        <w:rPr>
          <w:color w:val="000000"/>
        </w:rPr>
        <w:t xml:space="preserve"> </w:t>
      </w:r>
      <w:r>
        <w:rPr>
          <w:rFonts w:ascii="Arial;sans-serif" w:hAnsi="Arial;sans-serif"/>
          <w:b w:val="false"/>
          <w:color w:val="000000"/>
          <w:sz w:val="20"/>
        </w:rPr>
        <w:t>The term “Competitor,” as used in this paragraph 4, shall mean any person or entity that engages in, directly or indirectly, any business activity of the type or character engaged in or competitive with that conducted by Enviri at the time of termination of your employment with Enviri.</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(f)</w:t>
      </w:r>
      <w:r>
        <w:rPr>
          <w:color w:val="000000"/>
        </w:rPr>
        <w:t xml:space="preserve"> </w:t>
      </w:r>
      <w:r>
        <w:rPr>
          <w:rFonts w:ascii="Arial;sans-serif" w:hAnsi="Arial;sans-serif"/>
          <w:b w:val="false"/>
          <w:color w:val="000000"/>
          <w:sz w:val="20"/>
        </w:rPr>
        <w:t>This paragraph 4 shall not preclude you from owning up to 2% of the stock of a publicly-traded company.</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(g)</w:t>
      </w:r>
      <w:r>
        <w:rPr>
          <w:color w:val="000000"/>
        </w:rPr>
        <w:t xml:space="preserve"> </w:t>
      </w:r>
      <w:r>
        <w:rPr>
          <w:rFonts w:ascii="Arial;sans-serif" w:hAnsi="Arial;sans-serif"/>
          <w:b w:val="false"/>
          <w:color w:val="000000"/>
          <w:sz w:val="20"/>
        </w:rPr>
        <w:t>Agreement to this paragraph 4 is a material condition of your employment with Enviri.</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4"/>
        </w:rPr>
        <w:t>5</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Return of Enviri Documents and Other Information</w:t>
      </w:r>
      <w:r>
        <w:rPr>
          <w:rFonts w:ascii="Arial;sans-serif" w:hAnsi="Arial;sans-serif"/>
          <w:b/>
          <w:color w:val="000000"/>
          <w:sz w:val="24"/>
        </w:rPr>
        <w: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Immediately upon the cessation of your employment with Enviri for any reason or at any other time immediately upon request of Enviri, you shall deliver to Enviri all company property, including, but not limited to, computers, personal data devices, cell phones, keys or access cards, credit cards, and all Enviri confidential information (as defined above).</w:t>
      </w:r>
      <w:r>
        <w:rPr>
          <w:color w:val="000000"/>
        </w:rPr>
        <w:t xml:space="preserve"> </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4"/>
        </w:rPr>
        <w:t>6</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Subsequent Employment and Enforcement</w:t>
      </w:r>
      <w:r>
        <w:rPr>
          <w:rFonts w:ascii="Arial;sans-serif" w:hAnsi="Arial;sans-serif"/>
          <w:b/>
          <w:color w:val="000000"/>
          <w:sz w:val="24"/>
        </w:rPr>
        <w: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a</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Advise Enviri of New Employment</w:t>
      </w:r>
      <w:r>
        <w:rPr>
          <w:rFonts w:ascii="Arial;sans-serif" w:hAnsi="Arial;sans-serif"/>
          <w:b/>
          <w:color w:val="000000"/>
          <w:sz w:val="24"/>
        </w:rPr>
        <w:t>.</w:t>
      </w:r>
      <w:r>
        <w:rPr>
          <w:color w:val="000000"/>
        </w:rPr>
        <w:t xml:space="preserve"> </w:t>
      </w:r>
      <w:r>
        <w:rPr>
          <w:rFonts w:ascii="Arial;sans-serif" w:hAnsi="Arial;sans-serif"/>
          <w:b w:val="false"/>
          <w:color w:val="000000"/>
          <w:sz w:val="20"/>
        </w:rPr>
        <w:t xml:space="preserve">In the event of a cessation of your employment with Enviri, and during the Restricted Period described in paragraph 4 above, you agree to disclose to Enviri, the name and address of any new employer or business affiliation within ten (10) days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1135"/>
                <wp:effectExtent l="0" t="0" r="0" b="0"/>
                <wp:wrapNone/>
                <wp:docPr id="174" name="Frame157"/>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7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 descr=""/>
                                                <pic:cNvPicPr>
                                                  <a:picLocks noChangeAspect="1" noChangeArrowheads="1"/>
                                                </pic:cNvPicPr>
                                              </pic:nvPicPr>
                                              <pic:blipFill>
                                                <a:blip r:embed="rId26"/>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7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 descr=""/>
                                          <pic:cNvPicPr>
                                            <a:picLocks noChangeAspect="1" noChangeArrowheads="1"/>
                                          </pic:cNvPicPr>
                                        </pic:nvPicPr>
                                        <pic:blipFill>
                                          <a:blip r:embed="rId27"/>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 descr=""/>
                          <pic:cNvPicPr>
                            <a:picLocks noChangeAspect="1" noChangeArrowheads="1"/>
                          </pic:cNvPicPr>
                        </pic:nvPicPr>
                        <pic:blipFill>
                          <a:blip r:embed="rId28"/>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0"/>
        </w:rPr>
        <w:t>of your accepting such position.</w:t>
      </w:r>
      <w:r>
        <w:rPr>
          <w:color w:val="000000"/>
        </w:rPr>
        <w:t xml:space="preserve"> </w:t>
      </w:r>
      <w:r>
        <w:rPr>
          <w:rFonts w:ascii="Arial;sans-serif" w:hAnsi="Arial;sans-serif"/>
          <w:b w:val="false"/>
          <w:color w:val="000000"/>
          <w:sz w:val="20"/>
        </w:rPr>
        <w:t>In the event that you fail to notify Enviri of such new employment or business affiliation as required above, the Restricted Period shall be extended by a period equal to the period of nondisclosure.</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b</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Your Ability to Earn Livelihood</w:t>
      </w:r>
      <w:r>
        <w:rPr>
          <w:rFonts w:ascii="Arial;sans-serif" w:hAnsi="Arial;sans-serif"/>
          <w:b/>
          <w:color w:val="000000"/>
          <w:sz w:val="24"/>
        </w:rPr>
        <w:t>.</w:t>
      </w:r>
      <w:r>
        <w:rPr>
          <w:color w:val="000000"/>
        </w:rPr>
        <w:t xml:space="preserve"> </w:t>
      </w:r>
      <w:r>
        <w:rPr>
          <w:rFonts w:ascii="Arial;sans-serif" w:hAnsi="Arial;sans-serif"/>
          <w:b w:val="false"/>
          <w:color w:val="000000"/>
          <w:sz w:val="20"/>
        </w:rPr>
        <w:t>You acknowledge that, in the event of a cessation of your employment with Enviri, for any reason and at any time, you will be able to earn a livelihood without violating the provisions of paragraph 4 of this Agreement.</w:t>
      </w:r>
      <w:r>
        <w:rPr>
          <w:color w:val="000000"/>
        </w:rPr>
        <w:t xml:space="preserve"> </w:t>
      </w:r>
      <w:r>
        <w:rPr>
          <w:rFonts w:ascii="Arial;sans-serif" w:hAnsi="Arial;sans-serif"/>
          <w:b w:val="false"/>
          <w:color w:val="000000"/>
          <w:sz w:val="20"/>
        </w:rPr>
        <w:t>Your ability to earn a livelihood without violating paragraph 4 of this Agreement is a material condition of your employment with Enviri.</w:t>
      </w:r>
      <w:r>
        <w:rPr>
          <w:color w:val="000000"/>
        </w:rPr>
        <w:t xml:space="preserve"> </w:t>
      </w:r>
      <w:r>
        <w:rPr>
          <w:rFonts w:ascii="Arial;sans-serif" w:hAnsi="Arial;sans-serif"/>
          <w:b w:val="false"/>
          <w:color w:val="000000"/>
          <w:sz w:val="20"/>
        </w:rPr>
        <w:t>You and Enviri acknowledge that your rights have been limited by this Agreement only to the extent reasonably necessary to protect the legitimate interests of Enviri.</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c</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Construction and Severability</w:t>
      </w:r>
      <w:r>
        <w:rPr>
          <w:rFonts w:ascii="Arial;sans-serif" w:hAnsi="Arial;sans-serif"/>
          <w:b/>
          <w:color w:val="000000"/>
          <w:sz w:val="24"/>
        </w:rPr>
        <w:t>.</w:t>
      </w:r>
      <w:r>
        <w:rPr>
          <w:color w:val="000000"/>
        </w:rPr>
        <w:t xml:space="preserve"> </w:t>
      </w:r>
      <w:r>
        <w:rPr>
          <w:rFonts w:ascii="Arial;sans-serif" w:hAnsi="Arial;sans-serif"/>
          <w:b w:val="false"/>
          <w:color w:val="000000"/>
          <w:sz w:val="20"/>
        </w:rPr>
        <w:t xml:space="preserve">If any section, paragraph, term or provision of this Agreement, or the application thereof, is determined by a competent court or tribunal to be invalid or unenforceable, then the other parts of such section, paragraph, term or provision shall not be affected thereby and shall be given full force and effect without regard to the invalid or unenforceable portions, and the section, paragraph, term or provision of this Agreement will be deemed modified to the extent necessary to render it valid and enforceable. </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d</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Enforcement</w:t>
      </w:r>
      <w:r>
        <w:rPr>
          <w:rFonts w:ascii="Arial;sans-serif" w:hAnsi="Arial;sans-serif"/>
          <w:b/>
          <w:color w:val="000000"/>
          <w:sz w:val="24"/>
        </w:rPr>
        <w:t>.</w:t>
      </w:r>
      <w:r>
        <w:rPr>
          <w:color w:val="000000"/>
        </w:rPr>
        <w:t xml:space="preserve"> </w:t>
      </w:r>
      <w:r>
        <w:rPr>
          <w:rFonts w:ascii="Arial;sans-serif" w:hAnsi="Arial;sans-serif"/>
          <w:b w:val="false"/>
          <w:color w:val="000000"/>
          <w:sz w:val="20"/>
        </w:rPr>
        <w:t>You agree that if you violate the covenants and agreements set forth above (including paragraphs 2, 3, 4 and/or 5), Enviri would suffer irreparable harm, and that such harm to Enviri may be impossible to measure in monetary damages.</w:t>
      </w:r>
      <w:r>
        <w:rPr>
          <w:color w:val="000000"/>
        </w:rPr>
        <w:t xml:space="preserve"> </w:t>
      </w:r>
      <w:r>
        <w:rPr>
          <w:rFonts w:ascii="Arial;sans-serif" w:hAnsi="Arial;sans-serif"/>
          <w:b w:val="false"/>
          <w:color w:val="000000"/>
          <w:sz w:val="20"/>
        </w:rPr>
        <w:t>Accordingly, in addition to any other remedies which Enviri may have at law or in equity, Enviri shall have the right to have all obligations, undertakings, agreements, covenants and other provisions of this Agreement specifically performed by you, and Enviri shall have the right to obtain preliminary and permanent injunctive relief to secure specific performance, and to prevent a breach or contemplated breach, of this Agreement.</w:t>
      </w:r>
      <w:r>
        <w:rPr>
          <w:color w:val="000000"/>
        </w:rPr>
        <w:t xml:space="preserve"> </w:t>
      </w:r>
      <w:r>
        <w:rPr>
          <w:rFonts w:ascii="Arial;sans-serif" w:hAnsi="Arial;sans-serif"/>
          <w:b w:val="false"/>
          <w:color w:val="000000"/>
          <w:sz w:val="20"/>
        </w:rPr>
        <w:t>In such event, Enviri shall be entitled to an accounting and repayment of all profits, compensation, remunerations or benefits which you or others, directly or indirectly, have realized or may realize as a result of, growing out of, or in conjunction with any violation of any partial or justified liquidated damages.</w:t>
      </w:r>
      <w:r>
        <w:rPr>
          <w:color w:val="000000"/>
        </w:rPr>
        <w:t xml:space="preserve"> </w:t>
      </w:r>
      <w:r>
        <w:rPr>
          <w:rFonts w:ascii="Arial;sans-serif" w:hAnsi="Arial;sans-serif"/>
          <w:b w:val="false"/>
          <w:color w:val="000000"/>
          <w:sz w:val="20"/>
        </w:rPr>
        <w:t>Such remedies shall be an addition to and not in limitation of any injunctive relief or other rights or remedies to which Enviri is or may be entitled at law or in equity under this Agreement and that, in the event Enviri seeks to enforce the terms of this Agreement through court proceedings, Enviri shall be entitled to reimbursement for all legal fees, costs and expenses incident to enforcement.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4"/>
        </w:rPr>
        <w:t>7</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Miscellaneous</w:t>
      </w:r>
      <w:r>
        <w:rPr>
          <w:rFonts w:ascii="Arial;sans-serif" w:hAnsi="Arial;sans-serif"/>
          <w:b/>
          <w:color w:val="000000"/>
          <w:sz w:val="24"/>
        </w:rPr>
        <w: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a</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Employment</w:t>
      </w:r>
      <w:r>
        <w:rPr>
          <w:rFonts w:ascii="Arial;sans-serif" w:hAnsi="Arial;sans-serif"/>
          <w:b/>
          <w:color w:val="000000"/>
          <w:sz w:val="24"/>
        </w:rPr>
        <w:t>.</w:t>
      </w:r>
      <w:r>
        <w:rPr>
          <w:color w:val="000000"/>
        </w:rPr>
        <w:t xml:space="preserve"> </w:t>
      </w:r>
      <w:r>
        <w:rPr>
          <w:rFonts w:ascii="Arial;sans-serif" w:hAnsi="Arial;sans-serif"/>
          <w:b w:val="false"/>
          <w:color w:val="000000"/>
          <w:sz w:val="20"/>
        </w:rPr>
        <w:t>This Agreement does not constitute a guarantee of employment.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b</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Assignment</w:t>
      </w:r>
      <w:r>
        <w:rPr>
          <w:rFonts w:ascii="Arial;sans-serif" w:hAnsi="Arial;sans-serif"/>
          <w:b/>
          <w:color w:val="000000"/>
          <w:sz w:val="24"/>
        </w:rPr>
        <w:t>.</w:t>
      </w:r>
      <w:r>
        <w:rPr>
          <w:color w:val="000000"/>
        </w:rPr>
        <w:t xml:space="preserve"> </w:t>
      </w:r>
      <w:r>
        <w:rPr>
          <w:rFonts w:ascii="Arial;sans-serif" w:hAnsi="Arial;sans-serif"/>
          <w:b w:val="false"/>
          <w:color w:val="000000"/>
          <w:sz w:val="20"/>
        </w:rPr>
        <w:t>You may not assign this Agreement or any of your rights, duties or obligations under this Agreement to any party.</w:t>
      </w:r>
      <w:r>
        <w:rPr>
          <w:color w:val="000000"/>
        </w:rPr>
        <w:t xml:space="preserve"> </w:t>
      </w:r>
      <w:r>
        <w:rPr>
          <w:rFonts w:ascii="Arial;sans-serif" w:hAnsi="Arial;sans-serif"/>
          <w:b w:val="false"/>
          <w:color w:val="000000"/>
          <w:sz w:val="20"/>
        </w:rPr>
        <w:t>You hereby consent and agree that Enviri may assign this Agreement and any of the rights or obligations hereunder to any successor entity to Enviri by operation of law or otherwise or to any third party in connection with the sale, merger, consolidation, reorganization, liquidation or transfer, in whole or in part, of Enviri’s control and/or ownership of its assets or business (including, but not limited to, the assets related to the business unit or division of Enviri by which you are employed, if applicable)</w:t>
      </w:r>
      <w:r>
        <w:rPr>
          <w:rFonts w:ascii="Arial;sans-serif" w:hAnsi="Arial;sans-serif"/>
          <w:b w:val="false"/>
          <w:color w:val="000000"/>
          <w:sz w:val="21"/>
        </w:rPr>
        <w:t>.</w:t>
      </w:r>
      <w:r>
        <w:rPr>
          <w:color w:val="000000"/>
        </w:rPr>
        <w:t xml:space="preserve"> </w:t>
      </w:r>
      <w:r>
        <w:rPr>
          <w:rFonts w:ascii="Arial;sans-serif" w:hAnsi="Arial;sans-serif"/>
          <w:b w:val="false"/>
          <w:color w:val="000000"/>
          <w:sz w:val="21"/>
        </w:rPr>
        <w:t>In such event, you agree to continue to be bound by the terms of this Agreement.</w:t>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1135"/>
                <wp:effectExtent l="0" t="0" r="0" b="0"/>
                <wp:wrapNone/>
                <wp:docPr id="178" name="Frame158"/>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7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 descr=""/>
                                                <pic:cNvPicPr>
                                                  <a:picLocks noChangeAspect="1" noChangeArrowheads="1"/>
                                                </pic:cNvPicPr>
                                              </pic:nvPicPr>
                                              <pic:blipFill>
                                                <a:blip r:embed="rId29"/>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8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 descr=""/>
                                          <pic:cNvPicPr>
                                            <a:picLocks noChangeAspect="1" noChangeArrowheads="1"/>
                                          </pic:cNvPicPr>
                                        </pic:nvPicPr>
                                        <pic:blipFill>
                                          <a:blip r:embed="rId30"/>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8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 descr=""/>
                          <pic:cNvPicPr>
                            <a:picLocks noChangeAspect="1" noChangeArrowheads="1"/>
                          </pic:cNvPicPr>
                        </pic:nvPicPr>
                        <pic:blipFill>
                          <a:blip r:embed="rId31"/>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c</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Headings</w:t>
      </w:r>
      <w:r>
        <w:rPr>
          <w:rFonts w:ascii="Arial;sans-serif" w:hAnsi="Arial;sans-serif"/>
          <w:b/>
          <w:color w:val="000000"/>
          <w:sz w:val="24"/>
        </w:rPr>
        <w:t>.</w:t>
      </w:r>
      <w:r>
        <w:rPr>
          <w:color w:val="000000"/>
        </w:rPr>
        <w:t xml:space="preserve"> </w:t>
      </w:r>
      <w:r>
        <w:rPr>
          <w:rFonts w:ascii="Arial;sans-serif" w:hAnsi="Arial;sans-serif"/>
          <w:b w:val="false"/>
          <w:color w:val="000000"/>
          <w:sz w:val="20"/>
        </w:rPr>
        <w:t>The headings contained in this Agreement are inserted for convenience of reference only, and shall not be deemed to be a part of this Agreement for any purposes, and shall not in any way define or affect the meaning, construction or scope of any of the provisions of this Agreement.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d</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Governing Law and Jurisdiction</w:t>
      </w:r>
      <w:r>
        <w:rPr>
          <w:rFonts w:ascii="Arial;sans-serif" w:hAnsi="Arial;sans-serif"/>
          <w:b/>
          <w:color w:val="000000"/>
          <w:sz w:val="24"/>
        </w:rPr>
        <w:t>.</w:t>
      </w:r>
      <w:r>
        <w:rPr>
          <w:color w:val="000000"/>
        </w:rPr>
        <w:t xml:space="preserve"> </w:t>
      </w:r>
      <w:r>
        <w:rPr>
          <w:rFonts w:ascii="Arial;sans-serif" w:hAnsi="Arial;sans-serif"/>
          <w:b w:val="false"/>
          <w:color w:val="000000"/>
          <w:sz w:val="20"/>
        </w:rPr>
        <w:t>This Agreement shall be construed under the laws of the Commonwealth of Pennsylvania, and the parties consent and agree that the federal and state courts located in Cumberland County, Pennsylvania shall have exclusive jurisdiction over any dispute relating to this Agreement and/or your employment with Enviri.</w:t>
      </w:r>
      <w:r>
        <w:rPr>
          <w:color w:val="000000"/>
        </w:rPr>
        <w:t xml:space="preserve"> </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e</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Entire Agreement</w:t>
      </w:r>
      <w:r>
        <w:rPr>
          <w:rFonts w:ascii="Arial;sans-serif" w:hAnsi="Arial;sans-serif"/>
          <w:b/>
          <w:color w:val="000000"/>
          <w:sz w:val="24"/>
        </w:rPr>
        <w:t>.</w:t>
      </w:r>
      <w:r>
        <w:rPr>
          <w:color w:val="000000"/>
        </w:rPr>
        <w:t xml:space="preserve"> </w:t>
      </w:r>
      <w:r>
        <w:rPr>
          <w:rFonts w:ascii="Arial;sans-serif" w:hAnsi="Arial;sans-serif"/>
          <w:b w:val="false"/>
          <w:color w:val="000000"/>
          <w:sz w:val="20"/>
        </w:rPr>
        <w:t>This Agreement represents the entire understanding and agreement between the parties with respect to confidentiality, non-competition, non-solicitation and ownership of intellectual property, and supersedes all prior negotiations, agreements, discussions and proposals, both oral and written, between you and Enviri.</w:t>
      </w:r>
      <w:r>
        <w:rPr>
          <w:color w:val="000000"/>
        </w:rPr>
        <w:t xml:space="preserve"> </w:t>
      </w:r>
      <w:r>
        <w:rPr>
          <w:rFonts w:ascii="Arial;sans-serif" w:hAnsi="Arial;sans-serif"/>
          <w:b w:val="false"/>
          <w:color w:val="000000"/>
          <w:sz w:val="20"/>
        </w:rPr>
        <w:t>This Agreement may not be amended or modified, and no waiver hereunder shall be valid or binding, unless set forth in writing, duly executed by you and an authorized representative of Enviri.</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w:t>
      </w:r>
      <w:r>
        <w:rPr>
          <w:rFonts w:ascii="Arial;sans-serif" w:hAnsi="Arial;sans-serif"/>
          <w:b w:val="false"/>
          <w:color w:val="000000"/>
          <w:sz w:val="24"/>
        </w:rPr>
        <w:t>f</w:t>
      </w:r>
      <w:r>
        <w:rPr>
          <w:rFonts w:ascii="Arial;sans-serif" w:hAnsi="Arial;sans-serif"/>
          <w:b w:val="false"/>
          <w:color w:val="000000"/>
          <w:sz w:val="20"/>
        </w:rPr>
        <w:t>)</w:t>
      </w:r>
      <w:r>
        <w:rPr>
          <w:color w:val="000000"/>
        </w:rPr>
        <w:t xml:space="preserve"> </w:t>
      </w:r>
      <w:r>
        <w:rPr>
          <w:rFonts w:ascii="Arial;sans-serif" w:hAnsi="Arial;sans-serif"/>
          <w:b/>
          <w:color w:val="000000"/>
          <w:sz w:val="24"/>
          <w:u w:val="single"/>
        </w:rPr>
        <w:t>Acknowledgment</w:t>
      </w:r>
      <w:r>
        <w:rPr>
          <w:rFonts w:ascii="Arial;sans-serif" w:hAnsi="Arial;sans-serif"/>
          <w:b/>
          <w:color w:val="000000"/>
          <w:sz w:val="24"/>
        </w:rPr>
        <w:t>.</w:t>
      </w:r>
      <w:r>
        <w:rPr>
          <w:color w:val="000000"/>
        </w:rPr>
        <w:t xml:space="preserve"> </w:t>
      </w:r>
      <w:r>
        <w:rPr>
          <w:rFonts w:ascii="Arial;sans-serif" w:hAnsi="Arial;sans-serif"/>
          <w:b w:val="false"/>
          <w:color w:val="000000"/>
          <w:sz w:val="20"/>
        </w:rPr>
        <w:t>You acknowledge that you have carefully read and considered the provisions of this Agreement, have had an opportunity to consult with an independent legal counsel of your choosing, and accept employment on the terms set forth in this Agreement.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(g)</w:t>
      </w:r>
      <w:r>
        <w:rPr>
          <w:color w:val="000000"/>
        </w:rPr>
        <w:t xml:space="preserve"> </w:t>
      </w:r>
      <w:r>
        <w:rPr>
          <w:rFonts w:ascii="Arial;sans-serif" w:hAnsi="Arial;sans-serif"/>
          <w:b/>
          <w:color w:val="000000"/>
          <w:sz w:val="24"/>
          <w:u w:val="single"/>
        </w:rPr>
        <w:t>Waiver</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failure by Enviri to enforce any right or remedy available to it under this Agreement shall not be construed to be a waiver of such right or remedy with respect to any other prior, concurrent or subsequent breach or failure.</w:t>
      </w:r>
      <w:r>
        <w:rPr>
          <w:color w:val="000000"/>
        </w:rPr>
        <w:t xml:space="preserve"> </w:t>
      </w:r>
      <w:r>
        <w:rPr>
          <w:rFonts w:ascii="Arial;sans-serif" w:hAnsi="Arial;sans-serif"/>
          <w:b w:val="false"/>
          <w:color w:val="000000"/>
          <w:sz w:val="20"/>
        </w:rPr>
        <w:t>No waiver of rights under this Agreement shall be effective unless made in writing with specific reference to this Agreement.</w:t>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0"/>
        </w:rPr>
        <w:t>(h)</w:t>
      </w:r>
      <w:r>
        <w:rPr>
          <w:color w:val="000000"/>
        </w:rPr>
        <w:t xml:space="preserve"> </w:t>
      </w:r>
      <w:r>
        <w:rPr>
          <w:rFonts w:ascii="Arial;sans-serif" w:hAnsi="Arial;sans-serif"/>
          <w:b/>
          <w:color w:val="000000"/>
          <w:sz w:val="24"/>
          <w:u w:val="single"/>
        </w:rPr>
        <w:t>Notification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You agree that Enviri may notify any third party about your obligations under this Agreement in order to ensure that you have performed all of your obligations hereunder.</w:t>
      </w:r>
      <w:r>
        <w:rPr>
          <w:color w:val="000000"/>
        </w:rPr>
        <w:t xml:space="preserve"> </w:t>
      </w:r>
      <w:r>
        <w:rPr>
          <w:rFonts w:ascii="Arial;sans-serif" w:hAnsi="Arial;sans-serif"/>
          <w:b w:val="false"/>
          <w:color w:val="000000"/>
          <w:sz w:val="20"/>
        </w:rPr>
        <w:t>Upon Enviri’s request, you agree to provide Enviri with information, including, but not limited to, supplying details of your subsequent employment, sufficient to verify that you have not breached, or are not breaching, any covenant in this Agreement.</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ENVIRI CORPORATION </w:t>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By: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1135"/>
                <wp:effectExtent l="0" t="0" r="0" b="0"/>
                <wp:wrapNone/>
                <wp:docPr id="182" name="Frame159"/>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8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 descr=""/>
                                                <pic:cNvPicPr>
                                                  <a:picLocks noChangeAspect="1" noChangeArrowheads="1"/>
                                                </pic:cNvPicPr>
                                              </pic:nvPicPr>
                                              <pic:blipFill>
                                                <a:blip r:embed="rId32"/>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8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 descr=""/>
                                          <pic:cNvPicPr>
                                            <a:picLocks noChangeAspect="1" noChangeArrowheads="1"/>
                                          </pic:cNvPicPr>
                                        </pic:nvPicPr>
                                        <pic:blipFill>
                                          <a:blip r:embed="rId33"/>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8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 descr=""/>
                          <pic:cNvPicPr>
                            <a:picLocks noChangeAspect="1" noChangeArrowheads="1"/>
                          </pic:cNvPicPr>
                        </pic:nvPicPr>
                        <pic:blipFill>
                          <a:blip r:embed="rId34"/>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Name Printed</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Your Signature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1135"/>
                <wp:effectExtent l="0" t="0" r="0" b="0"/>
                <wp:wrapNone/>
                <wp:docPr id="186" name="Frame160"/>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8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9" descr=""/>
                                                <pic:cNvPicPr>
                                                  <a:picLocks noChangeAspect="1" noChangeArrowheads="1"/>
                                                </pic:cNvPicPr>
                                              </pic:nvPicPr>
                                              <pic:blipFill>
                                                <a:blip r:embed="rId35"/>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8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9" descr=""/>
                                          <pic:cNvPicPr>
                                            <a:picLocks noChangeAspect="1" noChangeArrowheads="1"/>
                                          </pic:cNvPicPr>
                                        </pic:nvPicPr>
                                        <pic:blipFill>
                                          <a:blip r:embed="rId36"/>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8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0" descr=""/>
                          <pic:cNvPicPr>
                            <a:picLocks noChangeAspect="1" noChangeArrowheads="1"/>
                          </pic:cNvPicPr>
                        </pic:nvPicPr>
                        <pic:blipFill>
                          <a:blip r:embed="rId37"/>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center"/>
        <w:rPr>
          <w:rFonts w:ascii="Arial;sans-serif" w:hAnsi="Arial;sans-serif"/>
          <w:b w:val="false"/>
          <w:color w:val="000000"/>
          <w:sz w:val="21"/>
        </w:rPr>
      </w:pPr>
      <w:r>
        <w:rPr>
          <w:rFonts w:ascii="Arial;sans-serif" w:hAnsi="Arial;sans-serif"/>
          <w:b w:val="false"/>
          <w:color w:val="000000"/>
          <w:sz w:val="21"/>
        </w:rPr>
        <w:t>Intellectual Property Disclosure</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 xml:space="preserve">I, __________________, acknowledge and affirm that I make no claims to Intellectual Property that I have conceived, made, or developed prior to the signing of this document. </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1"/>
        </w:rPr>
        <w:t>___________________</w:t>
      </w:r>
      <w:r>
        <w:rPr>
          <w:color w:val="000000"/>
        </w:rPr>
        <w:t xml:space="preserve"> </w:t>
      </w:r>
      <w:r>
        <w:rPr>
          <w:rFonts w:ascii="Arial;sans-serif" w:hAnsi="Arial;sans-serif"/>
          <w:b w:val="false"/>
          <w:color w:val="000000"/>
          <w:sz w:val="21"/>
        </w:rPr>
        <w:t>_________________</w:t>
      </w:r>
    </w:p>
    <w:p>
      <w:pPr>
        <w:pStyle w:val="TextBody"/>
        <w:bidi w:val="0"/>
        <w:spacing w:lineRule="auto" w:line="268" w:before="0" w:after="0"/>
        <w:jc w:val="left"/>
        <w:rPr/>
      </w:pPr>
      <w:r>
        <w:rPr>
          <w:rFonts w:ascii="Arial;sans-serif" w:hAnsi="Arial;sans-serif"/>
          <w:b w:val="false"/>
          <w:color w:val="000000"/>
          <w:sz w:val="21"/>
        </w:rPr>
        <w:t>Signed</w:t>
      </w:r>
      <w:r>
        <w:rPr>
          <w:color w:val="000000"/>
        </w:rPr>
        <w:t xml:space="preserve"> </w:t>
      </w:r>
      <w:r>
        <w:rPr>
          <w:rFonts w:ascii="Arial;sans-serif" w:hAnsi="Arial;sans-serif"/>
          <w:b w:val="false"/>
          <w:color w:val="000000"/>
          <w:sz w:val="21"/>
        </w:rPr>
        <w:t>Witness</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____________________</w: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Print Name</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____________________</w: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Date</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OR</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pPr>
      <w:r>
        <w:rPr>
          <w:rFonts w:ascii="Arial;sans-serif" w:hAnsi="Arial;sans-serif"/>
          <w:b w:val="false"/>
          <w:color w:val="000000"/>
          <w:sz w:val="21"/>
        </w:rPr>
        <w:t>I, __________________, acknowledge and affirm that the list set forth below is a complete list of Intellectual Property, conceived, made, obtained or developed by me prior to my employment by Enviri.</w:t>
      </w:r>
      <w:r>
        <w:rPr>
          <w:color w:val="000000"/>
        </w:rPr>
        <w:t xml:space="preserve"> </w:t>
      </w:r>
      <w:r>
        <w:rPr>
          <w:rFonts w:ascii="Arial;sans-serif" w:hAnsi="Arial;sans-serif"/>
          <w:b w:val="false"/>
          <w:color w:val="000000"/>
          <w:sz w:val="21"/>
        </w:rPr>
        <w:t>I make no other claims to any Intellectual Property that I have conceived, made, or developed prior to the signing of this document.</w:t>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 xml:space="preserve">List Intellectual Property and initial each item: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1135"/>
                <wp:effectExtent l="0" t="0" r="0" b="0"/>
                <wp:wrapNone/>
                <wp:docPr id="190" name="Frame161"/>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9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21" descr=""/>
                                                <pic:cNvPicPr>
                                                  <a:picLocks noChangeAspect="1" noChangeArrowheads="1"/>
                                                </pic:cNvPicPr>
                                              </pic:nvPicPr>
                                              <pic:blipFill>
                                                <a:blip r:embed="rId38"/>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9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1" descr=""/>
                                          <pic:cNvPicPr>
                                            <a:picLocks noChangeAspect="1" noChangeArrowheads="1"/>
                                          </pic:cNvPicPr>
                                        </pic:nvPicPr>
                                        <pic:blipFill>
                                          <a:blip r:embed="rId39"/>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19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22" descr=""/>
                          <pic:cNvPicPr>
                            <a:picLocks noChangeAspect="1" noChangeArrowheads="1"/>
                          </pic:cNvPicPr>
                        </pic:nvPicPr>
                        <pic:blipFill>
                          <a:blip r:embed="rId40"/>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pPr>
      <w:r>
        <w:rPr>
          <w:rFonts w:ascii="Arial;sans-serif" w:hAnsi="Arial;sans-serif"/>
          <w:b w:val="false"/>
          <w:color w:val="000000"/>
          <w:sz w:val="21"/>
        </w:rPr>
        <w:t>___________________</w:t>
      </w:r>
      <w:r>
        <w:rPr>
          <w:color w:val="000000"/>
        </w:rPr>
        <w:t xml:space="preserve"> </w:t>
      </w:r>
      <w:r>
        <w:rPr>
          <w:rFonts w:ascii="Arial;sans-serif" w:hAnsi="Arial;sans-serif"/>
          <w:b w:val="false"/>
          <w:color w:val="000000"/>
          <w:sz w:val="21"/>
        </w:rPr>
        <w:t>_________________</w:t>
      </w:r>
    </w:p>
    <w:p>
      <w:pPr>
        <w:pStyle w:val="TextBody"/>
        <w:bidi w:val="0"/>
        <w:spacing w:lineRule="auto" w:line="268" w:before="0" w:after="0"/>
        <w:jc w:val="left"/>
        <w:rPr/>
      </w:pPr>
      <w:r>
        <w:rPr>
          <w:rFonts w:ascii="Arial;sans-serif" w:hAnsi="Arial;sans-serif"/>
          <w:b w:val="false"/>
          <w:color w:val="000000"/>
          <w:sz w:val="21"/>
        </w:rPr>
        <w:t>Signed</w:t>
      </w:r>
      <w:r>
        <w:rPr>
          <w:color w:val="000000"/>
        </w:rPr>
        <w:t xml:space="preserve"> </w:t>
      </w:r>
      <w:r>
        <w:rPr>
          <w:rFonts w:ascii="Arial;sans-serif" w:hAnsi="Arial;sans-serif"/>
          <w:b w:val="false"/>
          <w:color w:val="000000"/>
          <w:sz w:val="21"/>
        </w:rPr>
        <w:t>Witness</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____________________</w: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Print Name</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____________________</w:t>
      </w:r>
    </w:p>
    <w:p>
      <w:pPr>
        <w:pStyle w:val="TextBody"/>
        <w:bidi w:val="0"/>
        <w:spacing w:lineRule="auto" w:line="268" w:before="0" w:after="0"/>
        <w:jc w:val="left"/>
        <w:rPr/>
      </w:pPr>
      <w:r>
        <w:rPr>
          <w:rFonts w:ascii="Arial;sans-serif" w:hAnsi="Arial;sans-serif"/>
          <w:b w:val="false"/>
          <w:color w:val="000000"/>
          <w:sz w:val="21"/>
        </w:rPr>
        <w:t>Date</w:t>
      </w: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1135"/>
                <wp:effectExtent l="0" t="0" r="0" b="0"/>
                <wp:wrapNone/>
                <wp:docPr id="194" name="Frame162"/>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9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23" descr=""/>
                                                <pic:cNvPicPr>
                                                  <a:picLocks noChangeAspect="1" noChangeArrowheads="1"/>
                                                </pic:cNvPicPr>
                                              </pic:nvPicPr>
                                              <pic:blipFill>
                                                <a:blip r:embed="rId41"/>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9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23" descr=""/>
                                          <pic:cNvPicPr>
                                            <a:picLocks noChangeAspect="1" noChangeArrowheads="1"/>
                                          </pic:cNvPicPr>
                                        </pic:nvPicPr>
                                        <pic:blipFill>
                                          <a:blip r:embed="rId42"/>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7016" w:type="dxa"/>
        <w:jc w:val="left"/>
        <w:tblInd w:w="0" w:type="dxa"/>
        <w:tblLayout w:type="fixed"/>
        <w:tblCellMar>
          <w:top w:w="28" w:type="dxa"/>
          <w:left w:w="28" w:type="dxa"/>
          <w:bottom w:w="28" w:type="dxa"/>
          <w:right w:w="28" w:type="dxa"/>
        </w:tblCellMar>
      </w:tblPr>
      <w:tblGrid>
        <w:gridCol w:w="2248"/>
        <w:gridCol w:w="1976"/>
        <w:gridCol w:w="2792"/>
      </w:tblGrid>
      <w:tr>
        <w:trPr/>
        <w:tc>
          <w:tcPr>
            <w:tcW w:w="224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160"/>
              <w:ind w:left="0" w:right="0" w:firstLine="3510"/>
              <w:jc w:val="right"/>
              <w:rPr/>
            </w:pPr>
            <w:r>
              <w:rPr/>
              <w:drawing>
                <wp:inline distT="0" distB="0" distL="0" distR="0">
                  <wp:extent cx="2133600" cy="1038225"/>
                  <wp:effectExtent l="0" t="0" r="0" b="0"/>
                  <wp:docPr id="19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24" descr=""/>
                          <pic:cNvPicPr>
                            <a:picLocks noChangeAspect="1" noChangeArrowheads="1"/>
                          </pic:cNvPicPr>
                        </pic:nvPicPr>
                        <pic:blipFill>
                          <a:blip r:embed="rId43"/>
                          <a:stretch>
                            <a:fillRect/>
                          </a:stretch>
                        </pic:blipFill>
                        <pic:spPr bwMode="auto">
                          <a:xfrm>
                            <a:off x="0" y="0"/>
                            <a:ext cx="2133600" cy="1038225"/>
                          </a:xfrm>
                          <a:prstGeom prst="rect">
                            <a:avLst/>
                          </a:prstGeom>
                        </pic:spPr>
                      </pic:pic>
                    </a:graphicData>
                  </a:graphic>
                </wp:inline>
              </w:drawing>
            </w:r>
          </w:p>
        </w:tc>
      </w:tr>
    </w:tbl>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2"/>
        </w:rPr>
        <w:t>Exhibit 10.14</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May 7, 2026</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Peter Minan</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Sent via email</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Dear Pete:</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On behalf of Enviri II Corporation (“Enviri”), I wish to confirm your position of Executive Vice President and Chief Financial Officer at an annual salary of $650,000 (Six Hundred Fifty Thousand Dollars), effective upon the date the sale of Clean Earth and formal spin-off of Enviri occurs.</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Effective in the 2026 plan year, you will be eligible for supplemental compensation annually as a participant in the Company’s Annual Incentive Plan (“AIP”). Based on the achievement of Enviri’s overall objectives the target award available to you will be 80% of your base earnings for the Plan Year. Any award for the 2026 Plan Year will be prorated to reflect your actual time in this assignment during the current year. The AIP Plan design and payout criteria are reviewed periodically, are subject to change and are at the sole discretion of the Enviri Board of Directors.</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 xml:space="preserve">Effective for the 2026 plan year, you will be eligible to participate in the Enviri II Corporation Long-Term Incentive (LTIP) Plan. Your 2026 grant will be equal to the value of $1,625,000 or 250% of your base salary, consisting of Restricted Stock Units (RSUs) and will be made within 60 business days following the spin-off of Enviri. Vesting of this RSU Award will be monthly, inclusive of credit for your start date of the consulting contract executed or December 1, 2025. No service vesting will occur unless you remain employed with the company through March 31, 2027. If you voluntarily terminate after March 31, 2027, the value of your award will be pro-rated from December 1, 2025 through to termination date divided by the number of months counted from December 1, 2025 and the last month of the three year RSU grant term. Participation is subject to the terms of the Plan. The LTIP Plan design, share ownership requirements, participation and any grants are reviewed annually, are subject to change and are at the sole discretion of the Enviri Board of Directors. Your inclusion in the list of Plan participants reflects the value we place on your role within the global Enviri team. </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 xml:space="preserve">We currently expect to make founders grants to a group of employees who are critical to executing the strategy of New Enviri. Your position will be eligible for a founders grant. More information on the founders grant will be provided following Board of Directors approval of this program. </w:t>
      </w:r>
    </w:p>
    <w:p>
      <w:pPr>
        <w:pStyle w:val="TextBody"/>
        <w:bidi w:val="0"/>
        <w:spacing w:before="0" w:after="0"/>
        <w:jc w:val="left"/>
        <w:rPr/>
      </w:pPr>
      <w:r>
        <w:rPr/>
      </w:r>
    </w:p>
    <w:p>
      <w:pPr>
        <w:pStyle w:val="TextBody"/>
        <w:bidi w:val="0"/>
        <w:spacing w:lineRule="auto" w:line="268" w:before="0" w:after="0"/>
        <w:jc w:val="left"/>
        <w:rPr/>
      </w:pPr>
      <w:r>
        <w:rPr>
          <w:rFonts w:ascii="Lato;sans-serif" w:hAnsi="Lato;sans-serif"/>
          <w:b w:val="false"/>
          <w:color w:val="000000"/>
          <w:sz w:val="22"/>
          <w:shd w:fill="FFFFFF" w:val="clear"/>
        </w:rPr>
        <w:t>You will continue to be based at the new Corporate Headquarters in Center City Philadelphia.</w:t>
      </w:r>
      <w:r>
        <w:rPr>
          <w:color w:val="000000"/>
        </w:rPr>
        <w:t xml:space="preserve"> </w:t>
      </w:r>
      <w:r>
        <w:rPr>
          <w:rFonts w:ascii="Lato;sans-serif" w:hAnsi="Lato;sans-serif"/>
          <w:b w:val="false"/>
          <w:color w:val="000000"/>
          <w:sz w:val="22"/>
        </w:rPr>
        <w:t xml:space="preserve">In this position you will report directly to Russell Hochman, Chief Executive Officer of Enviri II Corporation. </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Please be aware that, since your position will involve significant access to Enviri confidential information and/or valuable business relationships, you will be required to sign the Enviri Confidentiality Agreement as a condition of our employment offer.</w:t>
      </w:r>
    </w:p>
    <w:p>
      <w:pPr>
        <w:pStyle w:val="TextBody"/>
        <w:bidi w:val="0"/>
        <w:spacing w:before="0" w:after="0"/>
        <w:jc w:val="left"/>
        <w:rPr/>
      </w:pPr>
      <w:r>
        <w:rPr/>
      </w:r>
    </w:p>
    <w:p>
      <w:pPr>
        <w:pStyle w:val="TextBody"/>
        <w:bidi w:val="0"/>
        <w:spacing w:lineRule="auto" w:line="268" w:before="0" w:after="0"/>
        <w:jc w:val="left"/>
        <w:rPr/>
      </w:pPr>
      <w:r>
        <w:rPr>
          <w:rFonts w:ascii="Lato;sans-serif" w:hAnsi="Lato;sans-serif"/>
          <w:b w:val="false"/>
          <w:color w:val="000000"/>
          <w:sz w:val="22"/>
        </w:rPr>
        <w:t>While we hope our relationship will be mutually beneficial, it needs to be emphasized that our relationship (as with all of our employees) is “at-will”, that is, you or the Company can end the relationship for any reason and at any time, with or without cause or advance notice.</w:t>
      </w:r>
      <w:r>
        <w:rPr>
          <w:color w:val="000000"/>
        </w:rPr>
        <w:t xml:space="preserve"> </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1135"/>
                <wp:effectExtent l="0" t="0" r="0" b="0"/>
                <wp:wrapNone/>
                <wp:docPr id="198" name="Frame163"/>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r>
                                    <w:br w:type="page"/>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19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25" descr=""/>
                                                <pic:cNvPicPr>
                                                  <a:picLocks noChangeAspect="1" noChangeArrowheads="1"/>
                                                </pic:cNvPicPr>
                                              </pic:nvPicPr>
                                              <pic:blipFill>
                                                <a:blip r:embed="rId44"/>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20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5" descr=""/>
                                          <pic:cNvPicPr>
                                            <a:picLocks noChangeAspect="1" noChangeArrowheads="1"/>
                                          </pic:cNvPicPr>
                                        </pic:nvPicPr>
                                        <pic:blipFill>
                                          <a:blip r:embed="rId45"/>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526" w:type="dxa"/>
        <w:jc w:val="left"/>
        <w:tblInd w:w="0" w:type="dxa"/>
        <w:tblLayout w:type="fixed"/>
        <w:tblCellMar>
          <w:top w:w="28" w:type="dxa"/>
          <w:left w:w="28" w:type="dxa"/>
          <w:bottom w:w="28" w:type="dxa"/>
          <w:right w:w="28" w:type="dxa"/>
        </w:tblCellMar>
      </w:tblPr>
      <w:tblGrid>
        <w:gridCol w:w="488"/>
        <w:gridCol w:w="429"/>
        <w:gridCol w:w="609"/>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876300" cy="1009650"/>
                  <wp:effectExtent l="0" t="0" r="0" b="0"/>
                  <wp:docPr id="20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6" descr=""/>
                          <pic:cNvPicPr>
                            <a:picLocks noChangeAspect="1" noChangeArrowheads="1"/>
                          </pic:cNvPicPr>
                        </pic:nvPicPr>
                        <pic:blipFill>
                          <a:blip r:embed="rId46"/>
                          <a:stretch>
                            <a:fillRect/>
                          </a:stretch>
                        </pic:blipFill>
                        <pic:spPr bwMode="auto">
                          <a:xfrm>
                            <a:off x="0" y="0"/>
                            <a:ext cx="876300" cy="1009650"/>
                          </a:xfrm>
                          <a:prstGeom prst="rect">
                            <a:avLst/>
                          </a:prstGeom>
                        </pic:spPr>
                      </pic:pic>
                    </a:graphicData>
                  </a:graphic>
                </wp:inline>
              </w:drawing>
            </w:r>
          </w:p>
        </w:tc>
      </w:tr>
    </w:tbl>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Please note your acceptance by signing and returning a copy of this letter. Should you have any questions, please reach out to me or to Lauren Aker.</w:t>
      </w:r>
    </w:p>
    <w:p>
      <w:pPr>
        <w:pStyle w:val="TextBody"/>
        <w:bidi w:val="0"/>
        <w:spacing w:before="0" w:after="0"/>
        <w:jc w:val="left"/>
        <w:rPr/>
      </w:pPr>
      <w:r>
        <w:rPr/>
      </w:r>
    </w:p>
    <w:p>
      <w:pPr>
        <w:pStyle w:val="TextBody"/>
        <w:bidi w:val="0"/>
        <w:spacing w:before="0" w:after="0"/>
        <w:jc w:val="left"/>
        <w:rPr/>
      </w:pPr>
      <w:r>
        <w:rPr/>
        <w:drawing>
          <wp:inline distT="0" distB="0" distL="0" distR="0">
            <wp:extent cx="5943600" cy="1819275"/>
            <wp:effectExtent l="0" t="0" r="0" b="0"/>
            <wp:docPr id="20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7" descr=""/>
                    <pic:cNvPicPr>
                      <a:picLocks noChangeAspect="1" noChangeArrowheads="1"/>
                    </pic:cNvPicPr>
                  </pic:nvPicPr>
                  <pic:blipFill>
                    <a:blip r:embed="rId47"/>
                    <a:stretch>
                      <a:fillRect/>
                    </a:stretch>
                  </pic:blipFill>
                  <pic:spPr bwMode="auto">
                    <a:xfrm>
                      <a:off x="0" y="0"/>
                      <a:ext cx="5943600" cy="1819275"/>
                    </a:xfrm>
                    <a:prstGeom prst="rect">
                      <a:avLst/>
                    </a:prstGeom>
                  </pic:spPr>
                </pic:pic>
              </a:graphicData>
            </a:graphic>
          </wp:inline>
        </w:drawing>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1135"/>
                <wp:effectExtent l="0" t="0" r="0" b="0"/>
                <wp:wrapNone/>
                <wp:docPr id="203" name="Frame164"/>
                <a:graphic xmlns:a="http://schemas.openxmlformats.org/drawingml/2006/main">
                  <a:graphicData uri="http://schemas.microsoft.com/office/word/2010/wordprocessingShape">
                    <wps:wsp>
                      <wps:cNvSpPr txBox="1"/>
                      <wps:spPr>
                        <a:xfrm>
                          <a:off x="0" y="0"/>
                          <a:ext cx="6480175" cy="1461135"/>
                        </a:xfrm>
                        <a:prstGeom prst="rect"/>
                        <a:solidFill>
                          <a:srgbClr val="FFFFFF"/>
                        </a:solidFill>
                      </wps:spPr>
                      <wps:txb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20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8" descr=""/>
                                                <pic:cNvPicPr>
                                                  <a:picLocks noChangeAspect="1" noChangeArrowheads="1"/>
                                                </pic:cNvPicPr>
                                              </pic:nvPicPr>
                                              <pic:blipFill>
                                                <a:blip r:embed="rId48"/>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05pt;mso-wrap-distance-left:0pt;mso-wrap-distance-right:0pt;mso-wrap-distance-top:0pt;mso-wrap-distance-bottom:0pt;margin-top:0pt;mso-position-vertical:top;mso-position-vertical-relative:text;margin-left:0pt;mso-position-horizontal:left;mso-position-horizontal-relative:text">
                <v:textbox>
                  <w:txbxContent>
                    <w:tbl>
                      <w:tblPr>
                        <w:tblW w:w="7181" w:type="dxa"/>
                        <w:jc w:val="left"/>
                        <w:tblInd w:w="0" w:type="dxa"/>
                        <w:tblLayout w:type="fixed"/>
                        <w:tblCellMar>
                          <w:top w:w="28" w:type="dxa"/>
                          <w:left w:w="28" w:type="dxa"/>
                          <w:bottom w:w="28" w:type="dxa"/>
                          <w:right w:w="28" w:type="dxa"/>
                        </w:tblCellMar>
                      </w:tblPr>
                      <w:tblGrid>
                        <w:gridCol w:w="2300"/>
                        <w:gridCol w:w="2022"/>
                        <w:gridCol w:w="2859"/>
                      </w:tblGrid>
                      <w:tr>
                        <w:trPr/>
                        <w:tc>
                          <w:tcPr>
                            <w:tcW w:w="230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4467225" cy="876300"/>
                                  <wp:effectExtent l="0" t="0" r="0" b="0"/>
                                  <wp:docPr id="20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8" descr=""/>
                                          <pic:cNvPicPr>
                                            <a:picLocks noChangeAspect="1" noChangeArrowheads="1"/>
                                          </pic:cNvPicPr>
                                        </pic:nvPicPr>
                                        <pic:blipFill>
                                          <a:blip r:embed="rId49"/>
                                          <a:stretch>
                                            <a:fillRect/>
                                          </a:stretch>
                                        </pic:blipFill>
                                        <pic:spPr bwMode="auto">
                                          <a:xfrm>
                                            <a:off x="0" y="0"/>
                                            <a:ext cx="4467225" cy="8763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Russell C. Hochman, certify that:</w:t>
      </w:r>
    </w:p>
    <w:p>
      <w:pPr>
        <w:pStyle w:val="TextBody"/>
        <w:bidi w:val="0"/>
        <w:spacing w:lineRule="auto" w:line="288" w:before="120" w:after="120"/>
        <w:ind w:left="0" w:right="0" w:hanging="54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Enviri Corporation;</w:t>
      </w:r>
    </w:p>
    <w:p>
      <w:pPr>
        <w:pStyle w:val="TextBody"/>
        <w:bidi w:val="0"/>
        <w:spacing w:lineRule="auto" w:line="288" w:before="120" w:after="120"/>
        <w:ind w:left="0" w:right="0" w:hanging="54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54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54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45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 </w:t>
      </w:r>
    </w:p>
    <w:tbl>
      <w:tblPr>
        <w:tblW w:w="3551" w:type="dxa"/>
        <w:jc w:val="left"/>
        <w:tblInd w:w="0" w:type="dxa"/>
        <w:tblLayout w:type="fixed"/>
        <w:tblCellMar>
          <w:top w:w="28" w:type="dxa"/>
          <w:left w:w="28" w:type="dxa"/>
          <w:bottom w:w="28" w:type="dxa"/>
          <w:right w:w="28" w:type="dxa"/>
        </w:tblCellMar>
      </w:tblPr>
      <w:tblGrid>
        <w:gridCol w:w="1149"/>
        <w:gridCol w:w="1013"/>
        <w:gridCol w:w="1017"/>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C. HOCHMAN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C. Hochman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20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Peter F. Minan, certify that:</w:t>
      </w:r>
    </w:p>
    <w:p>
      <w:pPr>
        <w:pStyle w:val="TextBody"/>
        <w:bidi w:val="0"/>
        <w:spacing w:lineRule="auto" w:line="288" w:before="120" w:after="120"/>
        <w:ind w:left="0" w:right="0" w:hanging="54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Enviri Corporation;</w:t>
      </w:r>
    </w:p>
    <w:p>
      <w:pPr>
        <w:pStyle w:val="TextBody"/>
        <w:bidi w:val="0"/>
        <w:spacing w:lineRule="auto" w:line="288" w:before="120" w:after="120"/>
        <w:ind w:left="0" w:right="0" w:hanging="54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54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54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120"/>
        <w:ind w:left="0" w:right="0" w:hanging="36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120"/>
        <w:ind w:left="0" w:right="0" w:hanging="54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 </w:t>
      </w:r>
    </w:p>
    <w:tbl>
      <w:tblPr>
        <w:tblW w:w="4781" w:type="dxa"/>
        <w:jc w:val="left"/>
        <w:tblInd w:w="0" w:type="dxa"/>
        <w:tblLayout w:type="fixed"/>
        <w:tblCellMar>
          <w:top w:w="28" w:type="dxa"/>
          <w:left w:w="28" w:type="dxa"/>
          <w:bottom w:w="28" w:type="dxa"/>
          <w:right w:w="28" w:type="dxa"/>
        </w:tblCellMar>
      </w:tblPr>
      <w:tblGrid>
        <w:gridCol w:w="1594"/>
        <w:gridCol w:w="1405"/>
        <w:gridCol w:w="1410"/>
        <w:gridCol w:w="109"/>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F. MINAN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 Minan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20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ENVIRI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Enviri Corporation (the "Company") on Form 10-Q for the period ending June 30, 2026,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August 11, 2026 </w:t>
      </w:r>
    </w:p>
    <w:tbl>
      <w:tblPr>
        <w:tblW w:w="3224" w:type="dxa"/>
        <w:jc w:val="left"/>
        <w:tblInd w:w="0" w:type="dxa"/>
        <w:tblLayout w:type="fixed"/>
        <w:tblCellMar>
          <w:top w:w="28" w:type="dxa"/>
          <w:left w:w="28" w:type="dxa"/>
          <w:bottom w:w="28" w:type="dxa"/>
          <w:right w:w="28" w:type="dxa"/>
        </w:tblCellMar>
      </w:tblPr>
      <w:tblGrid>
        <w:gridCol w:w="1032"/>
        <w:gridCol w:w="906"/>
        <w:gridCol w:w="1286"/>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C. HOCHMAN</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C. Hochman</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tbl>
      <w:tblPr>
        <w:tblW w:w="4454" w:type="dxa"/>
        <w:jc w:val="left"/>
        <w:tblInd w:w="0" w:type="dxa"/>
        <w:tblLayout w:type="fixed"/>
        <w:tblCellMar>
          <w:top w:w="28" w:type="dxa"/>
          <w:left w:w="28" w:type="dxa"/>
          <w:bottom w:w="28" w:type="dxa"/>
          <w:right w:w="28" w:type="dxa"/>
        </w:tblCellMar>
      </w:tblPr>
      <w:tblGrid>
        <w:gridCol w:w="1422"/>
        <w:gridCol w:w="1252"/>
        <w:gridCol w:w="1780"/>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F. MINAN</w:t>
            </w:r>
          </w:p>
        </w:tc>
      </w:tr>
      <w:tr>
        <w:trPr/>
        <w:tc>
          <w:tcPr>
            <w:tcW w:w="4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 Minan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Enviri Corporation and will be retained by Enviri Corporation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20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104052/000119312526251752/d258410dex101.htm" TargetMode="External"/><Relationship Id="rId4" Type="http://schemas.openxmlformats.org/officeDocument/2006/relationships/hyperlink" Target="https://www.sec.gov/Archives/edgar/data/2104052/000119312526251752/d258410dex101.htm" TargetMode="External"/><Relationship Id="rId5" Type="http://schemas.openxmlformats.org/officeDocument/2006/relationships/hyperlink" Target="https://www.sec.gov/Archives/edgar/data/2104052/000119312526251752/d258410dex101.htm" TargetMode="External"/><Relationship Id="rId6" Type="http://schemas.openxmlformats.org/officeDocument/2006/relationships/hyperlink" Target="https://www.sec.gov/Archives/edgar/data/2104052/000119312526251752/d258410dex101.htm" TargetMode="External"/><Relationship Id="rId7" Type="http://schemas.openxmlformats.org/officeDocument/2006/relationships/hyperlink" Target="https://www.sec.gov/Archives/edgar/data/2104052/000119312526251752/d258410dex102.htm" TargetMode="External"/><Relationship Id="rId8" Type="http://schemas.openxmlformats.org/officeDocument/2006/relationships/hyperlink" Target="https://www.sec.gov/Archives/edgar/data/2104052/000119312526251752/d258410dex103.htm" TargetMode="External"/><Relationship Id="rId9" Type="http://schemas.openxmlformats.org/officeDocument/2006/relationships/hyperlink" Target="https://www.sec.gov/Archives/edgar/data/2104052/000210405226000067/exhibit101enviriiicorporat.htm" TargetMode="Externa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3.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3.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3.png"/><Relationship Id="rId27" Type="http://schemas.openxmlformats.org/officeDocument/2006/relationships/image" Target="media/image3.png"/><Relationship Id="rId28" Type="http://schemas.openxmlformats.org/officeDocument/2006/relationships/image" Target="media/image4.png"/><Relationship Id="rId29" Type="http://schemas.openxmlformats.org/officeDocument/2006/relationships/image" Target="media/image3.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3.png"/><Relationship Id="rId33" Type="http://schemas.openxmlformats.org/officeDocument/2006/relationships/image" Target="media/image3.png"/><Relationship Id="rId34" Type="http://schemas.openxmlformats.org/officeDocument/2006/relationships/image" Target="media/image4.png"/><Relationship Id="rId35" Type="http://schemas.openxmlformats.org/officeDocument/2006/relationships/image" Target="media/image3.png"/><Relationship Id="rId36" Type="http://schemas.openxmlformats.org/officeDocument/2006/relationships/image" Target="media/image3.png"/><Relationship Id="rId37" Type="http://schemas.openxmlformats.org/officeDocument/2006/relationships/image" Target="media/image4.png"/><Relationship Id="rId38" Type="http://schemas.openxmlformats.org/officeDocument/2006/relationships/image" Target="media/image3.png"/><Relationship Id="rId39" Type="http://schemas.openxmlformats.org/officeDocument/2006/relationships/image" Target="media/image3.png"/><Relationship Id="rId40" Type="http://schemas.openxmlformats.org/officeDocument/2006/relationships/image" Target="media/image4.png"/><Relationship Id="rId41" Type="http://schemas.openxmlformats.org/officeDocument/2006/relationships/image" Target="media/image3.png"/><Relationship Id="rId42" Type="http://schemas.openxmlformats.org/officeDocument/2006/relationships/image" Target="media/image3.png"/><Relationship Id="rId43" Type="http://schemas.openxmlformats.org/officeDocument/2006/relationships/image" Target="media/image2.png"/><Relationship Id="rId44" Type="http://schemas.openxmlformats.org/officeDocument/2006/relationships/image" Target="media/image3.png"/><Relationship Id="rId45" Type="http://schemas.openxmlformats.org/officeDocument/2006/relationships/image" Target="media/image3.png"/><Relationship Id="rId46" Type="http://schemas.openxmlformats.org/officeDocument/2006/relationships/image" Target="media/image4.png"/><Relationship Id="rId47" Type="http://schemas.openxmlformats.org/officeDocument/2006/relationships/image" Target="media/image5.png"/><Relationship Id="rId48" Type="http://schemas.openxmlformats.org/officeDocument/2006/relationships/image" Target="media/image3.png"/><Relationship Id="rId49" Type="http://schemas.openxmlformats.org/officeDocument/2006/relationships/image" Target="media/image3.pn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118</Pages>
  <Words>74113</Words>
  <Characters>408446</Characters>
  <CharactersWithSpaces>480541</CharactersWithSpaces>
  <Paragraphs>5861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